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10343" w:type="dxa"/>
        <w:tblLook w:val="04A0" w:firstRow="1" w:lastRow="0" w:firstColumn="1" w:lastColumn="0" w:noHBand="0" w:noVBand="1"/>
      </w:tblPr>
      <w:tblGrid>
        <w:gridCol w:w="704"/>
        <w:gridCol w:w="567"/>
        <w:gridCol w:w="2693"/>
        <w:gridCol w:w="567"/>
        <w:gridCol w:w="5812"/>
      </w:tblGrid>
      <w:tr w:rsidR="00CE4FDB" w:rsidRPr="005C15DC" w:rsidTr="00753EB7">
        <w:trPr>
          <w:cantSplit/>
          <w:trHeight w:val="624"/>
        </w:trPr>
        <w:tc>
          <w:tcPr>
            <w:tcW w:w="704" w:type="dxa"/>
            <w:shd w:val="clear" w:color="auto" w:fill="D9D9D9" w:themeFill="background1" w:themeFillShade="D9"/>
            <w:vAlign w:val="center"/>
          </w:tcPr>
          <w:p w:rsidR="00CE4FDB" w:rsidRPr="00D81DB5" w:rsidRDefault="00CE4FDB" w:rsidP="001E59F0">
            <w:pPr>
              <w:jc w:val="center"/>
              <w:rPr>
                <w:rFonts w:ascii="ＭＳ Ｐゴシック" w:eastAsia="ＭＳ Ｐゴシック" w:hAnsi="ＭＳ Ｐゴシック"/>
                <w:b/>
                <w:sz w:val="20"/>
                <w:szCs w:val="20"/>
              </w:rPr>
            </w:pPr>
            <w:r w:rsidRPr="007C1806">
              <w:rPr>
                <w:rFonts w:ascii="ＭＳ Ｐゴシック" w:eastAsia="ＭＳ Ｐゴシック" w:hAnsi="ＭＳ Ｐゴシック" w:hint="eastAsia"/>
                <w:b/>
                <w:sz w:val="20"/>
                <w:szCs w:val="20"/>
              </w:rPr>
              <w:t>番号</w:t>
            </w:r>
          </w:p>
        </w:tc>
        <w:tc>
          <w:tcPr>
            <w:tcW w:w="567" w:type="dxa"/>
            <w:shd w:val="clear" w:color="auto" w:fill="D9D9D9" w:themeFill="background1" w:themeFillShade="D9"/>
            <w:vAlign w:val="center"/>
          </w:tcPr>
          <w:p w:rsidR="00CE4FDB" w:rsidRPr="005C15DC" w:rsidRDefault="00CE4FDB" w:rsidP="001E59F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頁</w:t>
            </w:r>
          </w:p>
        </w:tc>
        <w:tc>
          <w:tcPr>
            <w:tcW w:w="2693" w:type="dxa"/>
            <w:shd w:val="clear" w:color="auto" w:fill="D9D9D9" w:themeFill="background1" w:themeFillShade="D9"/>
            <w:vAlign w:val="center"/>
          </w:tcPr>
          <w:p w:rsidR="00CE4FDB" w:rsidRPr="005C15DC" w:rsidRDefault="00CE4FDB" w:rsidP="001E59F0">
            <w:pPr>
              <w:jc w:val="center"/>
              <w:rPr>
                <w:rFonts w:asciiTheme="majorEastAsia" w:eastAsiaTheme="majorEastAsia" w:hAnsiTheme="majorEastAsia"/>
                <w:b/>
                <w:sz w:val="20"/>
                <w:szCs w:val="20"/>
              </w:rPr>
            </w:pPr>
            <w:r w:rsidRPr="005C15DC">
              <w:rPr>
                <w:rFonts w:asciiTheme="majorEastAsia" w:eastAsiaTheme="majorEastAsia" w:hAnsiTheme="majorEastAsia" w:hint="eastAsia"/>
                <w:b/>
                <w:sz w:val="20"/>
                <w:szCs w:val="20"/>
              </w:rPr>
              <w:t>ご意見の概要</w:t>
            </w:r>
          </w:p>
        </w:tc>
        <w:tc>
          <w:tcPr>
            <w:tcW w:w="567" w:type="dxa"/>
            <w:shd w:val="clear" w:color="auto" w:fill="D9D9D9" w:themeFill="background1" w:themeFillShade="D9"/>
            <w:vAlign w:val="center"/>
          </w:tcPr>
          <w:p w:rsidR="00CE4FDB" w:rsidRPr="005C15DC" w:rsidRDefault="00CE4FDB" w:rsidP="001E59F0">
            <w:pPr>
              <w:jc w:val="center"/>
              <w:rPr>
                <w:rFonts w:asciiTheme="majorEastAsia" w:eastAsiaTheme="majorEastAsia" w:hAnsiTheme="majorEastAsia"/>
                <w:b/>
                <w:sz w:val="20"/>
                <w:szCs w:val="20"/>
              </w:rPr>
            </w:pPr>
            <w:r w:rsidRPr="005C15DC">
              <w:rPr>
                <w:rFonts w:asciiTheme="majorEastAsia" w:eastAsiaTheme="majorEastAsia" w:hAnsiTheme="majorEastAsia" w:hint="eastAsia"/>
                <w:b/>
                <w:sz w:val="20"/>
                <w:szCs w:val="20"/>
              </w:rPr>
              <w:t>件数</w:t>
            </w:r>
          </w:p>
        </w:tc>
        <w:tc>
          <w:tcPr>
            <w:tcW w:w="5812" w:type="dxa"/>
            <w:shd w:val="clear" w:color="auto" w:fill="D9D9D9" w:themeFill="background1" w:themeFillShade="D9"/>
            <w:vAlign w:val="center"/>
          </w:tcPr>
          <w:p w:rsidR="00CE4FDB" w:rsidRPr="005C15DC" w:rsidRDefault="00CE4FDB" w:rsidP="001E59F0">
            <w:pPr>
              <w:jc w:val="center"/>
              <w:rPr>
                <w:rFonts w:asciiTheme="majorEastAsia" w:eastAsiaTheme="majorEastAsia" w:hAnsiTheme="majorEastAsia"/>
                <w:b/>
                <w:sz w:val="20"/>
                <w:szCs w:val="20"/>
              </w:rPr>
            </w:pPr>
            <w:r w:rsidRPr="005C15DC">
              <w:rPr>
                <w:rFonts w:asciiTheme="majorEastAsia" w:eastAsiaTheme="majorEastAsia" w:hAnsiTheme="majorEastAsia" w:hint="eastAsia"/>
                <w:b/>
                <w:sz w:val="20"/>
                <w:szCs w:val="20"/>
              </w:rPr>
              <w:t>区の考え方</w:t>
            </w:r>
          </w:p>
        </w:tc>
      </w:tr>
      <w:tr w:rsidR="00CE4FDB" w:rsidRPr="009810B9" w:rsidTr="00753EB7">
        <w:trPr>
          <w:trHeight w:val="1361"/>
        </w:trPr>
        <w:tc>
          <w:tcPr>
            <w:tcW w:w="704" w:type="dxa"/>
          </w:tcPr>
          <w:p w:rsidR="00CE4FDB" w:rsidRPr="009810B9" w:rsidRDefault="00D241BA" w:rsidP="001E59F0">
            <w:pPr>
              <w:jc w:val="center"/>
              <w:rPr>
                <w:rFonts w:asciiTheme="minorEastAsia" w:hAnsiTheme="minorEastAsia"/>
                <w:szCs w:val="21"/>
              </w:rPr>
            </w:pPr>
            <w:r>
              <w:rPr>
                <w:rFonts w:asciiTheme="minorEastAsia" w:hAnsiTheme="minorEastAsia" w:hint="eastAsia"/>
                <w:szCs w:val="21"/>
              </w:rPr>
              <w:t>1</w:t>
            </w:r>
          </w:p>
        </w:tc>
        <w:tc>
          <w:tcPr>
            <w:tcW w:w="567" w:type="dxa"/>
          </w:tcPr>
          <w:p w:rsidR="00CE4FDB" w:rsidRPr="009810B9" w:rsidRDefault="00CE4FDB" w:rsidP="001E59F0">
            <w:pPr>
              <w:jc w:val="center"/>
              <w:rPr>
                <w:rFonts w:asciiTheme="minorEastAsia" w:hAnsiTheme="minorEastAsia"/>
                <w:szCs w:val="21"/>
              </w:rPr>
            </w:pPr>
            <w:r>
              <w:rPr>
                <w:rFonts w:asciiTheme="minorEastAsia" w:hAnsiTheme="minorEastAsia" w:hint="eastAsia"/>
                <w:szCs w:val="21"/>
              </w:rPr>
              <w:t>6、43</w:t>
            </w:r>
          </w:p>
        </w:tc>
        <w:tc>
          <w:tcPr>
            <w:tcW w:w="2693" w:type="dxa"/>
          </w:tcPr>
          <w:p w:rsidR="00CE4FDB" w:rsidRPr="009810B9" w:rsidRDefault="00CE4FDB" w:rsidP="00CE4FDB">
            <w:pPr>
              <w:rPr>
                <w:rFonts w:asciiTheme="minorEastAsia" w:hAnsiTheme="minorEastAsia"/>
                <w:kern w:val="0"/>
                <w:szCs w:val="21"/>
              </w:rPr>
            </w:pPr>
            <w:r w:rsidRPr="009810B9">
              <w:rPr>
                <w:rFonts w:asciiTheme="minorEastAsia" w:hAnsiTheme="minorEastAsia" w:hint="eastAsia"/>
                <w:kern w:val="0"/>
                <w:szCs w:val="21"/>
              </w:rPr>
              <w:t>第1章計画の策定にあたって</w:t>
            </w:r>
          </w:p>
          <w:p w:rsidR="00CE4FDB" w:rsidRPr="009810B9" w:rsidRDefault="00CE4FDB" w:rsidP="00CE4FDB">
            <w:pPr>
              <w:rPr>
                <w:rFonts w:asciiTheme="minorEastAsia" w:hAnsiTheme="minorEastAsia"/>
                <w:kern w:val="0"/>
                <w:szCs w:val="21"/>
              </w:rPr>
            </w:pPr>
            <w:r w:rsidRPr="009810B9">
              <w:rPr>
                <w:rFonts w:asciiTheme="minorEastAsia" w:hAnsiTheme="minorEastAsia" w:hint="eastAsia"/>
                <w:kern w:val="0"/>
                <w:szCs w:val="21"/>
              </w:rPr>
              <w:t>3．豊島区地域保健福祉計画の概要</w:t>
            </w:r>
          </w:p>
          <w:p w:rsidR="00CE4FDB" w:rsidRPr="009810B9" w:rsidRDefault="00CE4FDB" w:rsidP="00CE4FDB">
            <w:pPr>
              <w:rPr>
                <w:rFonts w:asciiTheme="minorEastAsia" w:hAnsiTheme="minorEastAsia"/>
                <w:szCs w:val="21"/>
              </w:rPr>
            </w:pPr>
            <w:r>
              <w:rPr>
                <w:rFonts w:asciiTheme="minorEastAsia" w:hAnsiTheme="minorEastAsia" w:hint="eastAsia"/>
                <w:kern w:val="0"/>
                <w:szCs w:val="21"/>
              </w:rPr>
              <w:t>（1）コミュニティソーシャルワーカーと（2）</w:t>
            </w:r>
            <w:r w:rsidRPr="009810B9">
              <w:rPr>
                <w:rFonts w:asciiTheme="minorEastAsia" w:hAnsiTheme="minorEastAsia" w:hint="eastAsia"/>
                <w:kern w:val="0"/>
                <w:szCs w:val="21"/>
              </w:rPr>
              <w:t>福祉包括推進員の役割分担があまり明確ではなく、かぶるように思う。図式化など具体的に理解できるようにしてもらいたい。</w:t>
            </w:r>
          </w:p>
        </w:tc>
        <w:tc>
          <w:tcPr>
            <w:tcW w:w="567" w:type="dxa"/>
          </w:tcPr>
          <w:p w:rsidR="00CE4FDB"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CE4FDB" w:rsidRPr="009810B9" w:rsidRDefault="00CE4FDB" w:rsidP="00CE4FDB">
            <w:pPr>
              <w:rPr>
                <w:rFonts w:asciiTheme="minorEastAsia" w:hAnsiTheme="minorEastAsia"/>
                <w:szCs w:val="21"/>
              </w:rPr>
            </w:pPr>
            <w:r w:rsidRPr="009810B9">
              <w:rPr>
                <w:rFonts w:asciiTheme="minorEastAsia" w:hAnsiTheme="minorEastAsia" w:hint="eastAsia"/>
                <w:szCs w:val="21"/>
              </w:rPr>
              <w:t>ご意見を踏まえ、P6にコミュニティソーシャルワーカーと福祉包括化推進員の説明を入れ、下記のとおり内容の追記をいたしました。また、P43に説明を追加しました。</w:t>
            </w:r>
          </w:p>
          <w:p w:rsidR="00CE4FDB" w:rsidRPr="009810B9" w:rsidRDefault="00CE4FDB" w:rsidP="00CE4FDB">
            <w:pPr>
              <w:tabs>
                <w:tab w:val="center" w:pos="1734"/>
              </w:tabs>
              <w:rPr>
                <w:rFonts w:asciiTheme="minorEastAsia" w:hAnsiTheme="minorEastAsia"/>
                <w:szCs w:val="21"/>
              </w:rPr>
            </w:pPr>
            <w:r w:rsidRPr="009810B9">
              <w:rPr>
                <w:rFonts w:asciiTheme="minorEastAsia" w:hAnsiTheme="minorEastAsia" w:hint="eastAsia"/>
                <w:szCs w:val="21"/>
              </w:rPr>
              <w:t>Ｐ6</w:t>
            </w:r>
            <w:r>
              <w:rPr>
                <w:rFonts w:asciiTheme="minorEastAsia" w:hAnsiTheme="minorEastAsia"/>
                <w:szCs w:val="21"/>
              </w:rPr>
              <w:tab/>
            </w:r>
          </w:p>
          <w:p w:rsidR="00CE4FDB" w:rsidRPr="009810B9" w:rsidRDefault="00CE4FDB" w:rsidP="00CE4FDB">
            <w:pPr>
              <w:rPr>
                <w:rFonts w:asciiTheme="minorEastAsia" w:hAnsiTheme="minorEastAsia"/>
                <w:szCs w:val="21"/>
              </w:rPr>
            </w:pPr>
            <w:r w:rsidRPr="009810B9">
              <w:rPr>
                <w:rFonts w:asciiTheme="minorEastAsia" w:hAnsiTheme="minorEastAsia" w:hint="eastAsia"/>
                <w:szCs w:val="21"/>
              </w:rPr>
              <w:t>コミュニティソーシャルワーカー：支援を必要とする人々のニーズに応え、生活環境に目を向けて援助を行うとともに、地域による支援活動を発見して支援を必要とする人に結びつけたり、新たな資源を開発したり、公的制度との関係を調整したりすることを担う専門職のこと。豊島区民社会福祉協議会に委託し、区内8か所の地域区民ひろばに2～3名ずつ配置している。</w:t>
            </w:r>
          </w:p>
          <w:p w:rsidR="00CE4FDB" w:rsidRPr="009810B9" w:rsidRDefault="00CE4FDB" w:rsidP="00CE4FDB">
            <w:pPr>
              <w:rPr>
                <w:rFonts w:asciiTheme="minorEastAsia" w:hAnsiTheme="minorEastAsia"/>
                <w:szCs w:val="21"/>
              </w:rPr>
            </w:pPr>
            <w:r w:rsidRPr="009810B9">
              <w:rPr>
                <w:rFonts w:asciiTheme="minorEastAsia" w:hAnsiTheme="minorEastAsia" w:hint="eastAsia"/>
                <w:szCs w:val="21"/>
              </w:rPr>
              <w:t>福祉包括化推進員：単独の組織では対応が困難な制度の狭間の課題や複数の関係課・関係機関にまたがる複雑・複合的な課題に対して、分野横断的な支援体制の構築を図るため、区役所本庁舎4階を中心とした関係窓口や豊島区民社会福祉協議会に配置された福祉包括化推進員が課題解決に向けた全体調整を行っている。</w:t>
            </w:r>
          </w:p>
          <w:p w:rsidR="00CE4FDB" w:rsidRPr="009810B9" w:rsidRDefault="00CE4FDB" w:rsidP="00CE4FDB">
            <w:pPr>
              <w:rPr>
                <w:rFonts w:asciiTheme="minorEastAsia" w:hAnsiTheme="minorEastAsia"/>
                <w:szCs w:val="21"/>
              </w:rPr>
            </w:pPr>
            <w:r w:rsidRPr="009810B9">
              <w:rPr>
                <w:rFonts w:asciiTheme="minorEastAsia" w:hAnsiTheme="minorEastAsia"/>
                <w:szCs w:val="21"/>
              </w:rPr>
              <w:t>P43</w:t>
            </w:r>
          </w:p>
          <w:p w:rsidR="00CE4FDB" w:rsidRPr="009810B9" w:rsidRDefault="00CE4FDB" w:rsidP="00CE4FDB">
            <w:pPr>
              <w:rPr>
                <w:rFonts w:asciiTheme="minorEastAsia" w:hAnsiTheme="minorEastAsia"/>
                <w:szCs w:val="21"/>
              </w:rPr>
            </w:pPr>
            <w:r w:rsidRPr="009810B9">
              <w:rPr>
                <w:rFonts w:asciiTheme="minorEastAsia" w:hAnsiTheme="minorEastAsia" w:hint="eastAsia"/>
                <w:szCs w:val="21"/>
              </w:rPr>
              <w:t>コミュニティソーシャルワーカーは、全世代を対象に、福祉のことに限らず相談を直接受けています。一方、福祉包括化推進員は、コミュニティソーシャルワーカーや各相談窓口で受けた相談のうち、単独の組織では対応が困難な複雑・複合的な課題に対して、課題解決に向けた全体調整を行っています。</w:t>
            </w:r>
          </w:p>
        </w:tc>
      </w:tr>
      <w:tr w:rsidR="00CE4FDB" w:rsidRPr="009810B9" w:rsidTr="00753EB7">
        <w:trPr>
          <w:trHeight w:val="1361"/>
        </w:trPr>
        <w:tc>
          <w:tcPr>
            <w:tcW w:w="704" w:type="dxa"/>
          </w:tcPr>
          <w:p w:rsidR="00CE4FDB" w:rsidRPr="009810B9" w:rsidRDefault="00D241BA" w:rsidP="001E59F0">
            <w:pPr>
              <w:jc w:val="center"/>
              <w:rPr>
                <w:rFonts w:asciiTheme="minorEastAsia" w:hAnsiTheme="minorEastAsia"/>
                <w:szCs w:val="21"/>
              </w:rPr>
            </w:pPr>
            <w:r>
              <w:rPr>
                <w:rFonts w:asciiTheme="minorEastAsia" w:hAnsiTheme="minorEastAsia" w:hint="eastAsia"/>
                <w:szCs w:val="21"/>
              </w:rPr>
              <w:t>2</w:t>
            </w:r>
          </w:p>
        </w:tc>
        <w:tc>
          <w:tcPr>
            <w:tcW w:w="567" w:type="dxa"/>
          </w:tcPr>
          <w:p w:rsidR="00CE4FDB" w:rsidRPr="009810B9" w:rsidRDefault="00CE4FDB" w:rsidP="001E59F0">
            <w:pPr>
              <w:jc w:val="center"/>
              <w:rPr>
                <w:rFonts w:asciiTheme="minorEastAsia" w:hAnsiTheme="minorEastAsia"/>
                <w:szCs w:val="21"/>
              </w:rPr>
            </w:pPr>
            <w:r>
              <w:rPr>
                <w:rFonts w:asciiTheme="minorEastAsia" w:hAnsiTheme="minorEastAsia" w:hint="eastAsia"/>
                <w:szCs w:val="21"/>
              </w:rPr>
              <w:t>9</w:t>
            </w:r>
          </w:p>
        </w:tc>
        <w:tc>
          <w:tcPr>
            <w:tcW w:w="2693" w:type="dxa"/>
          </w:tcPr>
          <w:p w:rsidR="00CE4FDB" w:rsidRDefault="00CE4FDB" w:rsidP="00CE4FDB">
            <w:pPr>
              <w:rPr>
                <w:rFonts w:asciiTheme="minorEastAsia" w:hAnsiTheme="minorEastAsia"/>
                <w:szCs w:val="21"/>
              </w:rPr>
            </w:pPr>
            <w:r w:rsidRPr="009810B9">
              <w:rPr>
                <w:rFonts w:asciiTheme="minorEastAsia" w:hAnsiTheme="minorEastAsia" w:hint="eastAsia"/>
                <w:szCs w:val="21"/>
              </w:rPr>
              <w:t xml:space="preserve">第1章計画の策定にあたって　</w:t>
            </w:r>
          </w:p>
          <w:p w:rsidR="00CE4FDB" w:rsidRPr="009810B9" w:rsidRDefault="00CE4FDB" w:rsidP="00CE4FDB">
            <w:pPr>
              <w:rPr>
                <w:rFonts w:asciiTheme="minorEastAsia" w:hAnsiTheme="minorEastAsia"/>
                <w:szCs w:val="21"/>
              </w:rPr>
            </w:pPr>
            <w:r w:rsidRPr="009810B9">
              <w:rPr>
                <w:rFonts w:asciiTheme="minorEastAsia" w:hAnsiTheme="minorEastAsia" w:hint="eastAsia"/>
                <w:szCs w:val="21"/>
              </w:rPr>
              <w:t>5．計画策定の過程</w:t>
            </w:r>
          </w:p>
          <w:p w:rsidR="00CE4FDB" w:rsidRPr="009810B9" w:rsidRDefault="00CE4FDB" w:rsidP="00CE4FDB">
            <w:pPr>
              <w:ind w:left="36" w:hangingChars="17" w:hanging="36"/>
              <w:rPr>
                <w:rFonts w:asciiTheme="minorEastAsia" w:hAnsiTheme="minorEastAsia"/>
                <w:szCs w:val="21"/>
              </w:rPr>
            </w:pPr>
            <w:r w:rsidRPr="009810B9">
              <w:rPr>
                <w:rFonts w:asciiTheme="minorEastAsia" w:hAnsiTheme="minorEastAsia" w:hint="eastAsia"/>
                <w:szCs w:val="21"/>
              </w:rPr>
              <w:t>「障害者等実態・意向調査」の回答率が障害者・保護者等が43.4％から高くても51.0％と半分程度しか回収できていないのが残念です。当事者からの回答率が高くなるような工夫をお願いしたいです。</w:t>
            </w:r>
          </w:p>
        </w:tc>
        <w:tc>
          <w:tcPr>
            <w:tcW w:w="567" w:type="dxa"/>
          </w:tcPr>
          <w:p w:rsidR="00CE4FDB"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CE4FDB" w:rsidRPr="009810B9" w:rsidRDefault="00CE4FDB" w:rsidP="00CE4FDB">
            <w:pPr>
              <w:rPr>
                <w:rFonts w:asciiTheme="minorEastAsia" w:hAnsiTheme="minorEastAsia"/>
                <w:szCs w:val="21"/>
              </w:rPr>
            </w:pPr>
            <w:r w:rsidRPr="009810B9">
              <w:rPr>
                <w:rFonts w:asciiTheme="minorEastAsia" w:hAnsiTheme="minorEastAsia" w:hint="eastAsia"/>
                <w:szCs w:val="21"/>
              </w:rPr>
              <w:t>前回の実態・意向調査では回答率が低いものでは38.4%、高いものでも50.5%でしたが、今回の調査では前回の調査よりも全体的に回答率が上昇しました。</w:t>
            </w:r>
          </w:p>
          <w:p w:rsidR="00CE4FDB" w:rsidRPr="009810B9" w:rsidRDefault="00CE4FDB" w:rsidP="00CE4FDB">
            <w:pPr>
              <w:ind w:firstLineChars="100" w:firstLine="210"/>
              <w:rPr>
                <w:rFonts w:asciiTheme="minorEastAsia" w:hAnsiTheme="minorEastAsia"/>
                <w:szCs w:val="21"/>
              </w:rPr>
            </w:pPr>
            <w:r w:rsidRPr="009810B9">
              <w:rPr>
                <w:rFonts w:asciiTheme="minorEastAsia" w:hAnsiTheme="minorEastAsia" w:hint="eastAsia"/>
                <w:szCs w:val="21"/>
              </w:rPr>
              <w:t>次回の調査では、必須の項目と回答のしやすさなどのバランスを考え、当事者や事業者からさらに多くの回答が得られるよう、努めてまいります。</w:t>
            </w:r>
          </w:p>
        </w:tc>
      </w:tr>
      <w:tr w:rsidR="00D241BA" w:rsidRPr="009810B9" w:rsidTr="00A909EB">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3</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9</w:t>
            </w:r>
          </w:p>
        </w:tc>
        <w:tc>
          <w:tcPr>
            <w:tcW w:w="2693" w:type="dxa"/>
          </w:tcPr>
          <w:p w:rsidR="00D241BA" w:rsidRDefault="00D241BA" w:rsidP="00CE4FDB">
            <w:pPr>
              <w:rPr>
                <w:rFonts w:asciiTheme="minorEastAsia" w:hAnsiTheme="minorEastAsia"/>
                <w:szCs w:val="21"/>
              </w:rPr>
            </w:pPr>
            <w:r w:rsidRPr="009810B9">
              <w:rPr>
                <w:rFonts w:asciiTheme="minorEastAsia" w:hAnsiTheme="minorEastAsia" w:hint="eastAsia"/>
                <w:szCs w:val="21"/>
              </w:rPr>
              <w:t>第1章計画の策定にあたって</w:t>
            </w:r>
          </w:p>
          <w:p w:rsidR="00D241BA" w:rsidRPr="009810B9" w:rsidRDefault="00D241BA" w:rsidP="00CE4FDB">
            <w:pPr>
              <w:rPr>
                <w:rFonts w:asciiTheme="minorEastAsia" w:hAnsiTheme="minorEastAsia"/>
                <w:szCs w:val="21"/>
              </w:rPr>
            </w:pPr>
            <w:r w:rsidRPr="009810B9">
              <w:rPr>
                <w:rFonts w:asciiTheme="minorEastAsia" w:hAnsiTheme="minorEastAsia" w:hint="eastAsia"/>
                <w:szCs w:val="21"/>
              </w:rPr>
              <w:t>5．計画策定の過程</w:t>
            </w:r>
          </w:p>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事業</w:t>
            </w:r>
            <w:r>
              <w:rPr>
                <w:rFonts w:asciiTheme="minorEastAsia" w:hAnsiTheme="minorEastAsia" w:hint="eastAsia"/>
                <w:szCs w:val="21"/>
              </w:rPr>
              <w:t>者を回答対象とした「障害者等実態・意向調</w:t>
            </w:r>
            <w:r>
              <w:rPr>
                <w:rFonts w:asciiTheme="minorEastAsia" w:hAnsiTheme="minorEastAsia" w:hint="eastAsia"/>
                <w:szCs w:val="21"/>
              </w:rPr>
              <w:lastRenderedPageBreak/>
              <w:t>査」の回収率が区内164</w:t>
            </w:r>
            <w:r w:rsidRPr="009810B9">
              <w:rPr>
                <w:rFonts w:asciiTheme="minorEastAsia" w:hAnsiTheme="minorEastAsia" w:hint="eastAsia"/>
                <w:szCs w:val="21"/>
              </w:rPr>
              <w:t>事業所のうち94事業所のみの回収とほぼ半分の施設からの回答が得られていないのは少なすぎます。回答率が高くなるようお願いします。</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lastRenderedPageBreak/>
              <w:t>１件</w:t>
            </w:r>
          </w:p>
        </w:tc>
        <w:tc>
          <w:tcPr>
            <w:tcW w:w="5812" w:type="dxa"/>
            <w:shd w:val="clear" w:color="auto" w:fill="auto"/>
          </w:tcPr>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上記のとおりです。</w:t>
            </w:r>
          </w:p>
        </w:tc>
      </w:tr>
      <w:tr w:rsidR="00D241BA" w:rsidRPr="009810B9" w:rsidTr="00A909EB">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4</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17</w:t>
            </w:r>
          </w:p>
        </w:tc>
        <w:tc>
          <w:tcPr>
            <w:tcW w:w="2693" w:type="dxa"/>
          </w:tcPr>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第2章障害者を取り巻く状況</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1．区の障害者の現況</w:t>
            </w:r>
          </w:p>
          <w:p w:rsidR="00D241BA" w:rsidRPr="009810B9" w:rsidRDefault="00D241BA" w:rsidP="00753EB7">
            <w:pPr>
              <w:rPr>
                <w:rFonts w:asciiTheme="minorEastAsia" w:hAnsiTheme="minorEastAsia"/>
                <w:kern w:val="0"/>
                <w:szCs w:val="21"/>
              </w:rPr>
            </w:pPr>
            <w:r>
              <w:rPr>
                <w:rFonts w:asciiTheme="minorEastAsia" w:hAnsiTheme="minorEastAsia" w:hint="eastAsia"/>
                <w:kern w:val="0"/>
                <w:szCs w:val="21"/>
              </w:rPr>
              <w:t>（2）</w:t>
            </w:r>
            <w:r w:rsidRPr="009810B9">
              <w:rPr>
                <w:rFonts w:asciiTheme="minorEastAsia" w:hAnsiTheme="minorEastAsia" w:hint="eastAsia"/>
                <w:kern w:val="0"/>
                <w:szCs w:val="21"/>
              </w:rPr>
              <w:t>愛の手帳所持者数</w:t>
            </w:r>
          </w:p>
          <w:p w:rsidR="00D241BA" w:rsidRPr="009810B9" w:rsidRDefault="00D241BA" w:rsidP="00CE4FDB">
            <w:pPr>
              <w:rPr>
                <w:rFonts w:asciiTheme="minorEastAsia" w:hAnsiTheme="minorEastAsia"/>
                <w:szCs w:val="21"/>
              </w:rPr>
            </w:pPr>
            <w:r>
              <w:rPr>
                <w:rFonts w:asciiTheme="minorEastAsia" w:hAnsiTheme="minorEastAsia" w:hint="eastAsia"/>
                <w:kern w:val="0"/>
                <w:szCs w:val="21"/>
              </w:rPr>
              <w:t>「ほぼ年々増加傾向が見られます」</w:t>
            </w:r>
            <w:r w:rsidRPr="009810B9">
              <w:rPr>
                <w:rFonts w:asciiTheme="minorEastAsia" w:hAnsiTheme="minorEastAsia" w:hint="eastAsia"/>
                <w:kern w:val="0"/>
                <w:szCs w:val="21"/>
              </w:rPr>
              <w:t>と記載があるが、理由を書く必要があるのではないか。</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愛の手帳所持者の増減状況を記載しています。</w:t>
            </w:r>
          </w:p>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令和2年障害者白書では、療育手帳取得者の増加の要因の一つとして、知的障害に対する認知度が高くなったことが考えられると記載されており、一般的には知的障害に対する認知度が高くなってきたことが要因の一つと考えられます。</w:t>
            </w:r>
          </w:p>
        </w:tc>
      </w:tr>
      <w:tr w:rsidR="00D241BA" w:rsidRPr="009810B9" w:rsidTr="00753EB7">
        <w:trPr>
          <w:trHeight w:val="84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5</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17</w:t>
            </w:r>
          </w:p>
        </w:tc>
        <w:tc>
          <w:tcPr>
            <w:tcW w:w="2693" w:type="dxa"/>
          </w:tcPr>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第2章障害者を取り巻く状況</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1．区の障害者の現況</w:t>
            </w:r>
          </w:p>
          <w:p w:rsidR="00D241BA" w:rsidRPr="009810B9" w:rsidRDefault="00D241BA" w:rsidP="00753EB7">
            <w:pPr>
              <w:rPr>
                <w:rFonts w:asciiTheme="minorEastAsia" w:hAnsiTheme="minorEastAsia"/>
                <w:kern w:val="0"/>
                <w:szCs w:val="21"/>
              </w:rPr>
            </w:pPr>
            <w:r>
              <w:rPr>
                <w:rFonts w:asciiTheme="minorEastAsia" w:hAnsiTheme="minorEastAsia" w:hint="eastAsia"/>
                <w:kern w:val="0"/>
                <w:szCs w:val="21"/>
              </w:rPr>
              <w:t>（2）</w:t>
            </w:r>
            <w:r w:rsidRPr="009810B9">
              <w:rPr>
                <w:rFonts w:asciiTheme="minorEastAsia" w:hAnsiTheme="minorEastAsia" w:hint="eastAsia"/>
                <w:kern w:val="0"/>
                <w:szCs w:val="21"/>
              </w:rPr>
              <w:t>愛の手帳所持者数</w:t>
            </w:r>
          </w:p>
          <w:p w:rsidR="00D241BA" w:rsidRPr="009810B9" w:rsidRDefault="00D241BA" w:rsidP="00753EB7">
            <w:pPr>
              <w:rPr>
                <w:rFonts w:asciiTheme="minorEastAsia" w:hAnsiTheme="minorEastAsia"/>
                <w:szCs w:val="21"/>
              </w:rPr>
            </w:pPr>
            <w:r w:rsidRPr="009810B9">
              <w:rPr>
                <w:rFonts w:asciiTheme="minorEastAsia" w:hAnsiTheme="minorEastAsia" w:hint="eastAsia"/>
                <w:kern w:val="0"/>
                <w:szCs w:val="21"/>
              </w:rPr>
              <w:t>平成30年から令和元年度は大きく減っている。この理由を知りたい。</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令和元年度末に減少に転じた要因につきましては、明確な理由は分析できていませ</w:t>
            </w:r>
            <w:r>
              <w:rPr>
                <w:rFonts w:asciiTheme="minorEastAsia" w:hAnsiTheme="minorEastAsia" w:hint="eastAsia"/>
                <w:szCs w:val="21"/>
              </w:rPr>
              <w:t>んが、今後の推移について</w:t>
            </w:r>
            <w:r w:rsidRPr="0001250D">
              <w:rPr>
                <w:rFonts w:asciiTheme="minorEastAsia" w:hAnsiTheme="minorEastAsia" w:hint="eastAsia"/>
                <w:szCs w:val="21"/>
              </w:rPr>
              <w:t>注視</w:t>
            </w:r>
            <w:r>
              <w:rPr>
                <w:rFonts w:asciiTheme="minorEastAsia" w:hAnsiTheme="minorEastAsia" w:hint="eastAsia"/>
                <w:szCs w:val="21"/>
              </w:rPr>
              <w:t>してまいります。</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6</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17</w:t>
            </w:r>
          </w:p>
        </w:tc>
        <w:tc>
          <w:tcPr>
            <w:tcW w:w="2693" w:type="dxa"/>
          </w:tcPr>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第2章障害者を取り巻く状況</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1．区の障害者の現況</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重症心身障害者への支援が区の重要課題となるため、手帳所持者数の表に重症心身障害者数を入れるべきではないか。</w:t>
            </w:r>
          </w:p>
          <w:p w:rsidR="00D241BA" w:rsidRPr="009810B9" w:rsidRDefault="00D241BA" w:rsidP="00753EB7">
            <w:pPr>
              <w:tabs>
                <w:tab w:val="left" w:pos="1204"/>
              </w:tabs>
              <w:rPr>
                <w:rFonts w:asciiTheme="minorEastAsia" w:hAnsiTheme="minorEastAsia"/>
                <w:szCs w:val="21"/>
              </w:rPr>
            </w:pP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児童福祉法では、重度の知的障害及び重度の肢体不自由が重複している児童を「重症心身障害児」というとされており、判定には大島分類が広く用いられていますが、手帳の等級等とは基準も異なり、対象者数は把握できていないことから、掲載はいたしません。</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7</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18</w:t>
            </w:r>
          </w:p>
        </w:tc>
        <w:tc>
          <w:tcPr>
            <w:tcW w:w="2693" w:type="dxa"/>
          </w:tcPr>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第2章障害者を取り巻く状況</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1．区の障害者の現況</w:t>
            </w:r>
          </w:p>
          <w:p w:rsidR="00D241BA" w:rsidRPr="009810B9" w:rsidRDefault="00D241BA" w:rsidP="00753EB7">
            <w:pPr>
              <w:rPr>
                <w:rFonts w:asciiTheme="minorEastAsia" w:hAnsiTheme="minorEastAsia"/>
                <w:kern w:val="0"/>
                <w:szCs w:val="21"/>
              </w:rPr>
            </w:pPr>
            <w:r>
              <w:rPr>
                <w:rFonts w:asciiTheme="minorEastAsia" w:hAnsiTheme="minorEastAsia" w:hint="eastAsia"/>
                <w:kern w:val="0"/>
                <w:szCs w:val="21"/>
              </w:rPr>
              <w:t>（3）</w:t>
            </w:r>
            <w:r w:rsidRPr="009810B9">
              <w:rPr>
                <w:rFonts w:asciiTheme="minorEastAsia" w:hAnsiTheme="minorEastAsia" w:hint="eastAsia"/>
                <w:kern w:val="0"/>
                <w:szCs w:val="21"/>
              </w:rPr>
              <w:t>精神障害者保健福祉手帳交付等状況</w:t>
            </w:r>
          </w:p>
          <w:p w:rsidR="00D241BA" w:rsidRPr="00753EB7" w:rsidRDefault="00D241BA" w:rsidP="001E59F0">
            <w:pPr>
              <w:rPr>
                <w:rFonts w:asciiTheme="minorEastAsia" w:hAnsiTheme="minorEastAsia"/>
                <w:szCs w:val="21"/>
              </w:rPr>
            </w:pPr>
            <w:r w:rsidRPr="009810B9">
              <w:rPr>
                <w:rFonts w:asciiTheme="minorEastAsia" w:hAnsiTheme="minorEastAsia" w:hint="eastAsia"/>
                <w:kern w:val="0"/>
                <w:szCs w:val="21"/>
              </w:rPr>
              <w:t>「増加傾向にあり」という理由を書く必要があるのではないか。</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精神障害者保健福祉手帳交付状況の増減状況を記載しています。</w:t>
            </w:r>
          </w:p>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一般的に、現代のストレス社会におけるうつ病、統合失調症以外の精神疾患と呼ばれる診断の範囲が広がったことや、手帳の所持に対する周囲の理解が進んだこと、また、就労の際の障害者雇用枠の設置など社会制度が整備されてきたことが考えられます。</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p>
        </w:tc>
        <w:tc>
          <w:tcPr>
            <w:tcW w:w="567" w:type="dxa"/>
          </w:tcPr>
          <w:p w:rsidR="00D241BA" w:rsidRPr="009810B9" w:rsidRDefault="00D241BA" w:rsidP="001E59F0">
            <w:pPr>
              <w:jc w:val="center"/>
              <w:rPr>
                <w:rFonts w:asciiTheme="minorEastAsia" w:hAnsiTheme="minorEastAsia"/>
                <w:szCs w:val="21"/>
              </w:rPr>
            </w:pPr>
          </w:p>
        </w:tc>
        <w:tc>
          <w:tcPr>
            <w:tcW w:w="2693" w:type="dxa"/>
          </w:tcPr>
          <w:p w:rsidR="00D241BA" w:rsidRPr="009810B9" w:rsidRDefault="00D241BA" w:rsidP="00753EB7">
            <w:pPr>
              <w:pStyle w:val="a9"/>
              <w:rPr>
                <w:rFonts w:asciiTheme="minorEastAsia" w:eastAsiaTheme="minorEastAsia" w:hAnsiTheme="minorEastAsia"/>
              </w:rPr>
            </w:pPr>
          </w:p>
        </w:tc>
        <w:tc>
          <w:tcPr>
            <w:tcW w:w="567" w:type="dxa"/>
          </w:tcPr>
          <w:p w:rsidR="00D241BA" w:rsidRPr="009810B9" w:rsidRDefault="00D241BA" w:rsidP="001E59F0">
            <w:pPr>
              <w:jc w:val="center"/>
              <w:rPr>
                <w:rFonts w:asciiTheme="minorEastAsia" w:hAnsiTheme="minorEastAsia"/>
                <w:szCs w:val="21"/>
              </w:rPr>
            </w:pPr>
          </w:p>
        </w:tc>
        <w:tc>
          <w:tcPr>
            <w:tcW w:w="5812" w:type="dxa"/>
          </w:tcPr>
          <w:p w:rsidR="00D241BA" w:rsidRPr="009810B9" w:rsidRDefault="00D241BA" w:rsidP="00753EB7">
            <w:pPr>
              <w:rPr>
                <w:rFonts w:asciiTheme="minorEastAsia" w:hAnsiTheme="minorEastAsia"/>
                <w:szCs w:val="21"/>
              </w:rPr>
            </w:pP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8</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53</w:t>
            </w:r>
          </w:p>
        </w:tc>
        <w:tc>
          <w:tcPr>
            <w:tcW w:w="2693" w:type="dxa"/>
          </w:tcPr>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第4章施策の展開</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5就労支援の強化</w:t>
            </w:r>
          </w:p>
          <w:p w:rsidR="00D241BA" w:rsidRPr="009810B9" w:rsidRDefault="00D241BA" w:rsidP="001E59F0">
            <w:pPr>
              <w:rPr>
                <w:rFonts w:asciiTheme="minorEastAsia" w:hAnsiTheme="minorEastAsia"/>
                <w:szCs w:val="21"/>
              </w:rPr>
            </w:pPr>
            <w:r w:rsidRPr="009810B9">
              <w:rPr>
                <w:rFonts w:asciiTheme="minorEastAsia" w:hAnsiTheme="minorEastAsia" w:hint="eastAsia"/>
                <w:kern w:val="0"/>
                <w:szCs w:val="21"/>
              </w:rPr>
              <w:t>法定雇用率、国・地方公共団体の2．6％より民間の2．3％を書くできではないか。</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ご意見のとおり、民間企業の法定雇用率についても記載します。</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9</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63</w:t>
            </w:r>
          </w:p>
        </w:tc>
        <w:tc>
          <w:tcPr>
            <w:tcW w:w="2693" w:type="dxa"/>
          </w:tcPr>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第4章施策の展開</w:t>
            </w:r>
          </w:p>
          <w:p w:rsidR="00D241BA" w:rsidRPr="009810B9" w:rsidRDefault="00D241BA" w:rsidP="00753EB7">
            <w:pPr>
              <w:rPr>
                <w:rFonts w:asciiTheme="minorEastAsia" w:hAnsiTheme="minorEastAsia"/>
                <w:kern w:val="0"/>
                <w:szCs w:val="21"/>
              </w:rPr>
            </w:pPr>
            <w:r w:rsidRPr="009810B9">
              <w:rPr>
                <w:rFonts w:asciiTheme="minorEastAsia" w:hAnsiTheme="minorEastAsia" w:hint="eastAsia"/>
                <w:kern w:val="0"/>
                <w:szCs w:val="21"/>
              </w:rPr>
              <w:t>8災害時の福祉・医療・保健衛生体制の整備</w:t>
            </w:r>
          </w:p>
          <w:p w:rsidR="00D241BA" w:rsidRPr="009810B9" w:rsidRDefault="00D241BA" w:rsidP="00753EB7">
            <w:pPr>
              <w:rPr>
                <w:rFonts w:asciiTheme="minorEastAsia" w:hAnsiTheme="minorEastAsia"/>
                <w:szCs w:val="21"/>
              </w:rPr>
            </w:pPr>
            <w:r w:rsidRPr="009810B9">
              <w:rPr>
                <w:rFonts w:asciiTheme="minorEastAsia" w:hAnsiTheme="minorEastAsia" w:hint="eastAsia"/>
                <w:kern w:val="0"/>
                <w:szCs w:val="21"/>
              </w:rPr>
              <w:t>池袋駅等で行われる大規模な防災訓練などの際にはぜひ障害者疑似体験も行って頂きたいです。</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tabs>
                <w:tab w:val="left" w:pos="1225"/>
              </w:tabs>
              <w:rPr>
                <w:rFonts w:asciiTheme="minorEastAsia" w:hAnsiTheme="minorEastAsia"/>
                <w:szCs w:val="21"/>
              </w:rPr>
            </w:pPr>
            <w:r w:rsidRPr="009810B9">
              <w:rPr>
                <w:rFonts w:asciiTheme="minorEastAsia" w:hAnsiTheme="minorEastAsia" w:hint="eastAsia"/>
                <w:szCs w:val="21"/>
              </w:rPr>
              <w:t>毎年11月、池袋周辺地域では、区、鉄道事業者、集客施設、大学などの多様な主体が参加する「帰宅困難者対策訓練」を実施しており、訓練の項目として災害時の障害者疑似体験も行っております。</w:t>
            </w:r>
          </w:p>
          <w:p w:rsidR="00D241BA" w:rsidRPr="009810B9" w:rsidRDefault="00D241BA" w:rsidP="00753EB7">
            <w:pPr>
              <w:tabs>
                <w:tab w:val="left" w:pos="1504"/>
              </w:tabs>
              <w:rPr>
                <w:rFonts w:asciiTheme="minorEastAsia" w:hAnsiTheme="minorEastAsia"/>
                <w:szCs w:val="21"/>
              </w:rPr>
            </w:pPr>
            <w:r w:rsidRPr="009810B9">
              <w:rPr>
                <w:rFonts w:asciiTheme="minorEastAsia" w:hAnsiTheme="minorEastAsia" w:hint="eastAsia"/>
                <w:szCs w:val="21"/>
              </w:rPr>
              <w:t>今後も引き続きPR方法や訓練内容の充実を図ってまいります。</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10</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64</w:t>
            </w:r>
          </w:p>
        </w:tc>
        <w:tc>
          <w:tcPr>
            <w:tcW w:w="2693" w:type="dxa"/>
          </w:tcPr>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第4章施策の展開</w:t>
            </w:r>
          </w:p>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8災害時の福祉・医療・保健衛生体制の整備</w:t>
            </w:r>
          </w:p>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区内6か所の「福祉救援センター」での受け入れ可能人数や障害の種類などを分かりやすく公表してください。</w:t>
            </w:r>
          </w:p>
          <w:p w:rsidR="00D241BA" w:rsidRPr="009810B9" w:rsidRDefault="00D241BA" w:rsidP="00753EB7">
            <w:pPr>
              <w:rPr>
                <w:rFonts w:asciiTheme="minorEastAsia" w:hAnsiTheme="minorEastAsia"/>
                <w:szCs w:val="21"/>
              </w:rPr>
            </w:pP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福祉救援センターは、災害時にまずお近くの救援センターに避難していただき、支援や配慮が必要な方が二次的に避難する場所として位置づけられています。よって支援等の必要性の高い方から移行していただくことになります。</w:t>
            </w:r>
          </w:p>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発災状況に応じて、受入体制や周知方法などについて検討してまいります。</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11</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64</w:t>
            </w:r>
          </w:p>
        </w:tc>
        <w:tc>
          <w:tcPr>
            <w:tcW w:w="2693" w:type="dxa"/>
          </w:tcPr>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第4章施策の展開</w:t>
            </w:r>
          </w:p>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8災害時の福祉・医療・保健衛生体制の整備</w:t>
            </w:r>
          </w:p>
          <w:p w:rsidR="00D241BA" w:rsidRPr="00753EB7" w:rsidRDefault="00D241BA" w:rsidP="001E59F0">
            <w:pPr>
              <w:pStyle w:val="a9"/>
              <w:rPr>
                <w:rFonts w:asciiTheme="minorEastAsia" w:hAnsiTheme="minorEastAsia"/>
                <w:kern w:val="0"/>
              </w:rPr>
            </w:pPr>
            <w:r w:rsidRPr="009810B9">
              <w:rPr>
                <w:rFonts w:asciiTheme="minorEastAsia" w:hAnsiTheme="minorEastAsia" w:hint="eastAsia"/>
                <w:kern w:val="0"/>
              </w:rPr>
              <w:t>「福祉救援センター」の場所は、地域に偏りがありどうしても利用できない方がでてきます。各地域にまんべんなく設置してください。</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福祉救援センターの指定にあたっては、受け入れ可能な施設であることに加え、耐震・耐火構造等の基準も考慮する必要があります。指定の対象となる施設が限られる中で、地域バランス等にも配慮しながら指定していくことになります。地域の偏りにつきましては、今後の検討課題とさせていただきます。</w:t>
            </w:r>
          </w:p>
        </w:tc>
      </w:tr>
      <w:tr w:rsidR="00D241BA" w:rsidRPr="009810B9" w:rsidTr="00753EB7">
        <w:trPr>
          <w:trHeight w:val="1361"/>
        </w:trPr>
        <w:tc>
          <w:tcPr>
            <w:tcW w:w="704"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12</w:t>
            </w:r>
          </w:p>
        </w:tc>
        <w:tc>
          <w:tcPr>
            <w:tcW w:w="567" w:type="dxa"/>
          </w:tcPr>
          <w:p w:rsidR="00D241BA" w:rsidRPr="009810B9" w:rsidRDefault="00D241BA" w:rsidP="001E59F0">
            <w:pPr>
              <w:jc w:val="center"/>
              <w:rPr>
                <w:rFonts w:asciiTheme="minorEastAsia" w:hAnsiTheme="minorEastAsia"/>
                <w:szCs w:val="21"/>
              </w:rPr>
            </w:pPr>
            <w:r>
              <w:rPr>
                <w:rFonts w:asciiTheme="minorEastAsia" w:hAnsiTheme="minorEastAsia" w:hint="eastAsia"/>
                <w:szCs w:val="21"/>
              </w:rPr>
              <w:t>64</w:t>
            </w:r>
          </w:p>
        </w:tc>
        <w:tc>
          <w:tcPr>
            <w:tcW w:w="2693" w:type="dxa"/>
          </w:tcPr>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第4章施策の展開</w:t>
            </w:r>
          </w:p>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8災害時の福祉・医療・保健衛生体制の整備</w:t>
            </w:r>
          </w:p>
          <w:p w:rsidR="00D241BA" w:rsidRPr="009810B9" w:rsidRDefault="00D241BA" w:rsidP="00753EB7">
            <w:pPr>
              <w:pStyle w:val="a9"/>
              <w:rPr>
                <w:rFonts w:asciiTheme="minorEastAsia" w:eastAsiaTheme="minorEastAsia" w:hAnsiTheme="minorEastAsia"/>
              </w:rPr>
            </w:pPr>
            <w:r w:rsidRPr="009810B9">
              <w:rPr>
                <w:rFonts w:asciiTheme="minorEastAsia" w:eastAsiaTheme="minorEastAsia" w:hAnsiTheme="minorEastAsia" w:hint="eastAsia"/>
              </w:rPr>
              <w:t>すべての障害児者家庭が「福祉救援センター」を利用することは難しいと思います。各地域の「救援センター」も計画的に「スフィア基準」に則った誰にでも優しいセンターになるようにしてください。</w:t>
            </w:r>
          </w:p>
          <w:p w:rsidR="00D241BA" w:rsidRPr="00753EB7" w:rsidRDefault="00D241BA" w:rsidP="00753EB7">
            <w:pPr>
              <w:rPr>
                <w:rFonts w:asciiTheme="minorEastAsia" w:hAnsiTheme="minorEastAsia"/>
                <w:kern w:val="0"/>
                <w:szCs w:val="21"/>
              </w:rPr>
            </w:pP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災害発生時の「救援センター」の運営にあたっては、避難所生活において最低限満たされるべき基準である「スフィア基準」の視点を持つことが、今般の新型コロナウイルスの感染防止の観点からも必要です。</w:t>
            </w:r>
          </w:p>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各地域の「救援センター」においても、１人あたりの専有面積を拡大するとともに、段ボール間仕切りやトイレ袋などの各種資器材の備蓄を進め、「救援センター」の環境改善に取り組んでおります。</w:t>
            </w:r>
          </w:p>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一方で、一人当たりの専有面積を拡大すると避難所に入りきれないという問題も発生します。</w:t>
            </w:r>
          </w:p>
          <w:p w:rsidR="00D241BA" w:rsidRPr="009810B9" w:rsidRDefault="00D241BA" w:rsidP="00753EB7">
            <w:pPr>
              <w:rPr>
                <w:rFonts w:asciiTheme="minorEastAsia" w:hAnsiTheme="minorEastAsia"/>
                <w:szCs w:val="21"/>
              </w:rPr>
            </w:pPr>
            <w:r w:rsidRPr="009810B9">
              <w:rPr>
                <w:rFonts w:asciiTheme="minorEastAsia" w:hAnsiTheme="minorEastAsia" w:hint="eastAsia"/>
                <w:szCs w:val="21"/>
              </w:rPr>
              <w:t>こうしたことから、在宅での避難や、親戚・知人宅等への避難など、災害の状況に合わせて様々な避難先を検討しておくこと（分散避難）が求められています。</w:t>
            </w:r>
          </w:p>
          <w:p w:rsidR="00D241BA" w:rsidRPr="009810B9" w:rsidRDefault="00D241BA" w:rsidP="001E59F0">
            <w:pPr>
              <w:rPr>
                <w:rFonts w:asciiTheme="minorEastAsia" w:hAnsiTheme="minorEastAsia"/>
                <w:szCs w:val="21"/>
              </w:rPr>
            </w:pPr>
            <w:r w:rsidRPr="009810B9">
              <w:rPr>
                <w:rFonts w:asciiTheme="minorEastAsia" w:hAnsiTheme="minorEastAsia" w:hint="eastAsia"/>
                <w:szCs w:val="21"/>
              </w:rPr>
              <w:t>今後の防災対策の大きな課題として、引き続き検討してまいります。</w:t>
            </w:r>
          </w:p>
        </w:tc>
      </w:tr>
      <w:tr w:rsidR="00D241BA" w:rsidRPr="009810B9" w:rsidTr="00753EB7">
        <w:trPr>
          <w:trHeight w:val="1361"/>
        </w:trPr>
        <w:tc>
          <w:tcPr>
            <w:tcW w:w="704" w:type="dxa"/>
          </w:tcPr>
          <w:p w:rsidR="00D241BA" w:rsidRDefault="001B2745" w:rsidP="001E59F0">
            <w:pPr>
              <w:jc w:val="center"/>
              <w:rPr>
                <w:rFonts w:asciiTheme="minorEastAsia" w:hAnsiTheme="minorEastAsia"/>
                <w:szCs w:val="21"/>
              </w:rPr>
            </w:pPr>
            <w:r>
              <w:rPr>
                <w:rFonts w:asciiTheme="minorEastAsia" w:hAnsiTheme="minorEastAsia" w:hint="eastAsia"/>
                <w:szCs w:val="21"/>
              </w:rPr>
              <w:t>13</w:t>
            </w:r>
          </w:p>
        </w:tc>
        <w:tc>
          <w:tcPr>
            <w:tcW w:w="567" w:type="dxa"/>
          </w:tcPr>
          <w:p w:rsidR="00D241BA" w:rsidRDefault="00D241BA" w:rsidP="001E59F0">
            <w:pPr>
              <w:jc w:val="center"/>
              <w:rPr>
                <w:rFonts w:asciiTheme="minorEastAsia" w:hAnsiTheme="minorEastAsia"/>
                <w:szCs w:val="21"/>
              </w:rPr>
            </w:pPr>
            <w:r>
              <w:rPr>
                <w:rFonts w:asciiTheme="minorEastAsia" w:hAnsiTheme="minorEastAsia" w:hint="eastAsia"/>
                <w:szCs w:val="21"/>
              </w:rPr>
              <w:t>66</w:t>
            </w:r>
          </w:p>
        </w:tc>
        <w:tc>
          <w:tcPr>
            <w:tcW w:w="2693" w:type="dxa"/>
          </w:tcPr>
          <w:p w:rsidR="00D241BA" w:rsidRPr="009810B9" w:rsidRDefault="00D241BA" w:rsidP="00D241BA">
            <w:pPr>
              <w:rPr>
                <w:rFonts w:asciiTheme="minorEastAsia" w:hAnsiTheme="minorEastAsia"/>
                <w:szCs w:val="21"/>
              </w:rPr>
            </w:pPr>
            <w:r w:rsidRPr="009810B9">
              <w:rPr>
                <w:rFonts w:asciiTheme="minorEastAsia" w:hAnsiTheme="minorEastAsia" w:hint="eastAsia"/>
                <w:szCs w:val="21"/>
              </w:rPr>
              <w:t>第4章施策の展開</w:t>
            </w:r>
          </w:p>
          <w:p w:rsidR="00D241BA" w:rsidRPr="009810B9" w:rsidRDefault="00D241BA" w:rsidP="00D241BA">
            <w:pPr>
              <w:rPr>
                <w:rFonts w:asciiTheme="minorEastAsia" w:hAnsiTheme="minorEastAsia"/>
                <w:szCs w:val="21"/>
              </w:rPr>
            </w:pPr>
            <w:r w:rsidRPr="009810B9">
              <w:rPr>
                <w:rFonts w:asciiTheme="minorEastAsia" w:hAnsiTheme="minorEastAsia" w:hint="eastAsia"/>
                <w:szCs w:val="21"/>
              </w:rPr>
              <w:t>9福祉のまちづくりの推進</w:t>
            </w:r>
          </w:p>
          <w:p w:rsidR="00D241BA" w:rsidRPr="009810B9" w:rsidRDefault="00D241BA" w:rsidP="00D241BA">
            <w:pPr>
              <w:rPr>
                <w:rFonts w:asciiTheme="minorEastAsia" w:hAnsiTheme="minorEastAsia"/>
                <w:kern w:val="0"/>
                <w:szCs w:val="21"/>
              </w:rPr>
            </w:pPr>
            <w:r w:rsidRPr="009810B9">
              <w:rPr>
                <w:rFonts w:asciiTheme="minorEastAsia" w:hAnsiTheme="minorEastAsia" w:hint="eastAsia"/>
                <w:szCs w:val="21"/>
              </w:rPr>
              <w:t>毎年痛ましい事故が起きている駅ホームからの転落事故を防ぐためにも区内駅のホームドア設置を早急に行われるよう強く働きかけてください。</w:t>
            </w:r>
          </w:p>
        </w:tc>
        <w:tc>
          <w:tcPr>
            <w:tcW w:w="567" w:type="dxa"/>
          </w:tcPr>
          <w:p w:rsidR="00D241BA"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D241BA" w:rsidRPr="009810B9" w:rsidRDefault="00D241BA" w:rsidP="00D241BA">
            <w:pPr>
              <w:rPr>
                <w:rFonts w:asciiTheme="minorEastAsia" w:hAnsiTheme="minorEastAsia"/>
                <w:szCs w:val="21"/>
              </w:rPr>
            </w:pPr>
            <w:r w:rsidRPr="009810B9">
              <w:rPr>
                <w:rFonts w:asciiTheme="minorEastAsia" w:hAnsiTheme="minorEastAsia" w:hint="eastAsia"/>
                <w:szCs w:val="21"/>
              </w:rPr>
              <w:t>現在豊島区内では、全14駅中10駅にてホームドアの設置を完了しております。区は、未設置の駅についても、法令等に基づき、今後鉄道事業者に働きかけていきます。</w:t>
            </w:r>
          </w:p>
          <w:p w:rsidR="00D241BA" w:rsidRPr="009810B9" w:rsidRDefault="00D241BA" w:rsidP="00D241BA">
            <w:pPr>
              <w:rPr>
                <w:rFonts w:asciiTheme="minorEastAsia" w:hAnsiTheme="minorEastAsia"/>
                <w:szCs w:val="21"/>
              </w:rPr>
            </w:pPr>
            <w:r w:rsidRPr="009810B9">
              <w:rPr>
                <w:rFonts w:asciiTheme="minorEastAsia" w:hAnsiTheme="minorEastAsia" w:hint="eastAsia"/>
                <w:szCs w:val="21"/>
              </w:rPr>
              <w:t>併せて防災の手引き、サポート講座等で障害のある方への支援方法を周知しています。駅ホームの転落事故等を防ぐためにも、ホームドアの設置推進に加え、引き続きサポート方法について周知・啓発に努めてまいります。</w:t>
            </w:r>
          </w:p>
        </w:tc>
      </w:tr>
      <w:tr w:rsidR="001B2745" w:rsidRPr="009810B9" w:rsidTr="00753EB7">
        <w:trPr>
          <w:trHeight w:val="1361"/>
        </w:trPr>
        <w:tc>
          <w:tcPr>
            <w:tcW w:w="704" w:type="dxa"/>
          </w:tcPr>
          <w:p w:rsidR="001B2745" w:rsidRPr="009810B9" w:rsidRDefault="001B2745" w:rsidP="001E59F0">
            <w:pPr>
              <w:jc w:val="center"/>
              <w:rPr>
                <w:rFonts w:asciiTheme="minorEastAsia" w:hAnsiTheme="minorEastAsia"/>
                <w:szCs w:val="21"/>
              </w:rPr>
            </w:pPr>
            <w:r>
              <w:rPr>
                <w:rFonts w:asciiTheme="minorEastAsia" w:hAnsiTheme="minorEastAsia" w:hint="eastAsia"/>
                <w:szCs w:val="21"/>
              </w:rPr>
              <w:t>14</w:t>
            </w:r>
          </w:p>
        </w:tc>
        <w:tc>
          <w:tcPr>
            <w:tcW w:w="567" w:type="dxa"/>
          </w:tcPr>
          <w:p w:rsidR="001B2745" w:rsidRDefault="001B2745" w:rsidP="001E59F0">
            <w:pPr>
              <w:jc w:val="center"/>
              <w:rPr>
                <w:rFonts w:asciiTheme="minorEastAsia" w:hAnsiTheme="minorEastAsia"/>
                <w:szCs w:val="21"/>
              </w:rPr>
            </w:pPr>
            <w:r>
              <w:rPr>
                <w:rFonts w:asciiTheme="minorEastAsia" w:hAnsiTheme="minorEastAsia" w:hint="eastAsia"/>
                <w:szCs w:val="21"/>
              </w:rPr>
              <w:t>72</w:t>
            </w:r>
          </w:p>
        </w:tc>
        <w:tc>
          <w:tcPr>
            <w:tcW w:w="2693" w:type="dxa"/>
          </w:tcPr>
          <w:p w:rsidR="001B2745" w:rsidRPr="009810B9" w:rsidRDefault="001B2745" w:rsidP="00753EB7">
            <w:pPr>
              <w:pStyle w:val="a9"/>
              <w:rPr>
                <w:rFonts w:asciiTheme="minorEastAsia" w:eastAsiaTheme="minorEastAsia" w:hAnsiTheme="minorEastAsia"/>
              </w:rPr>
            </w:pPr>
            <w:r w:rsidRPr="009810B9">
              <w:rPr>
                <w:rFonts w:asciiTheme="minorEastAsia" w:eastAsiaTheme="minorEastAsia" w:hAnsiTheme="minorEastAsia" w:hint="eastAsia"/>
              </w:rPr>
              <w:t>第4章施策の展開</w:t>
            </w:r>
          </w:p>
          <w:p w:rsidR="001B2745" w:rsidRPr="009810B9" w:rsidRDefault="001B2745" w:rsidP="00753EB7">
            <w:pPr>
              <w:pStyle w:val="a9"/>
              <w:rPr>
                <w:rFonts w:asciiTheme="minorEastAsia" w:eastAsiaTheme="minorEastAsia" w:hAnsiTheme="minorEastAsia"/>
              </w:rPr>
            </w:pPr>
            <w:r w:rsidRPr="009810B9">
              <w:rPr>
                <w:rFonts w:asciiTheme="minorEastAsia" w:eastAsiaTheme="minorEastAsia" w:hAnsiTheme="minorEastAsia" w:hint="eastAsia"/>
              </w:rPr>
              <w:t>10福祉と文化の融合</w:t>
            </w:r>
          </w:p>
          <w:p w:rsidR="001B2745" w:rsidRPr="009810B9" w:rsidRDefault="001B2745" w:rsidP="00753EB7">
            <w:pPr>
              <w:pStyle w:val="a9"/>
              <w:rPr>
                <w:rFonts w:asciiTheme="minorEastAsia" w:eastAsiaTheme="minorEastAsia" w:hAnsiTheme="minorEastAsia"/>
              </w:rPr>
            </w:pPr>
            <w:r w:rsidRPr="009810B9">
              <w:rPr>
                <w:rFonts w:asciiTheme="minorEastAsia" w:eastAsiaTheme="minorEastAsia" w:hAnsiTheme="minorEastAsia" w:hint="eastAsia"/>
              </w:rPr>
              <w:t>障害児者の「ひまん」を減らしたり「外出」の促進ができるよう区内スポーツ施設で障害児者向けの定期的な教室や、障害児者も参加できる企画などおこなってほしいです。</w:t>
            </w:r>
          </w:p>
          <w:p w:rsidR="001B2745" w:rsidRPr="009810B9" w:rsidRDefault="001B2745" w:rsidP="00D241BA">
            <w:pPr>
              <w:pStyle w:val="a9"/>
              <w:rPr>
                <w:rFonts w:asciiTheme="minorEastAsia" w:eastAsiaTheme="minorEastAsia" w:hAnsiTheme="minorEastAsia"/>
              </w:rPr>
            </w:pPr>
          </w:p>
        </w:tc>
        <w:tc>
          <w:tcPr>
            <w:tcW w:w="567" w:type="dxa"/>
          </w:tcPr>
          <w:p w:rsidR="001B2745"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1B2745" w:rsidRPr="009810B9" w:rsidRDefault="001B2745" w:rsidP="00753EB7">
            <w:pPr>
              <w:rPr>
                <w:rFonts w:asciiTheme="minorEastAsia" w:hAnsiTheme="minorEastAsia"/>
                <w:szCs w:val="21"/>
              </w:rPr>
            </w:pPr>
            <w:r w:rsidRPr="009810B9">
              <w:rPr>
                <w:rFonts w:asciiTheme="minorEastAsia" w:hAnsiTheme="minorEastAsia" w:hint="eastAsia"/>
                <w:szCs w:val="21"/>
              </w:rPr>
              <w:t>一例を紹介させていただきますと、池袋スポーツセンターにおいては、障害のある方がプールやトレーニングルームでスタッフと１対1もしくは１対2で利用ができるパーソナルプログラムを導入しております。毎年10月には総合体育場で「としまスポーツまつり」を開催し、障害のある方に楽しんでいただけるプログラムを用意しております。また、障害のある方が身近な地域でスポーツや余暇活動等に親しむことができるよう、「障害者スポーツのつどい」、「みんなのヨガ教室」、「土曜余暇教室」、「日曜青年教室」等を開催しております。「としま健康チャレンジ」では、運動講座などのイベントに参加を促すための取組みも行っています。ご意見は今後の参考とさせていただき、引き続き障害のある方の社会参加促進につながる取組みの充実を図っていきます。</w:t>
            </w:r>
          </w:p>
        </w:tc>
      </w:tr>
      <w:tr w:rsidR="001B2745" w:rsidRPr="009810B9" w:rsidTr="00753EB7">
        <w:trPr>
          <w:trHeight w:val="1361"/>
        </w:trPr>
        <w:tc>
          <w:tcPr>
            <w:tcW w:w="704" w:type="dxa"/>
          </w:tcPr>
          <w:p w:rsidR="001B2745" w:rsidRPr="009810B9" w:rsidRDefault="001B2745" w:rsidP="001E59F0">
            <w:pPr>
              <w:jc w:val="center"/>
              <w:rPr>
                <w:rFonts w:asciiTheme="minorEastAsia" w:hAnsiTheme="minorEastAsia"/>
                <w:szCs w:val="21"/>
              </w:rPr>
            </w:pPr>
            <w:r>
              <w:rPr>
                <w:rFonts w:asciiTheme="minorEastAsia" w:hAnsiTheme="minorEastAsia" w:hint="eastAsia"/>
                <w:szCs w:val="21"/>
              </w:rPr>
              <w:t>15</w:t>
            </w:r>
          </w:p>
        </w:tc>
        <w:tc>
          <w:tcPr>
            <w:tcW w:w="567" w:type="dxa"/>
          </w:tcPr>
          <w:p w:rsidR="001B2745" w:rsidRPr="009810B9" w:rsidRDefault="001B2745" w:rsidP="001E59F0">
            <w:pPr>
              <w:jc w:val="center"/>
              <w:rPr>
                <w:rFonts w:asciiTheme="minorEastAsia" w:hAnsiTheme="minorEastAsia"/>
                <w:szCs w:val="21"/>
              </w:rPr>
            </w:pPr>
            <w:r>
              <w:rPr>
                <w:rFonts w:asciiTheme="minorEastAsia" w:hAnsiTheme="minorEastAsia" w:hint="eastAsia"/>
                <w:szCs w:val="21"/>
              </w:rPr>
              <w:t>72</w:t>
            </w:r>
          </w:p>
        </w:tc>
        <w:tc>
          <w:tcPr>
            <w:tcW w:w="2693" w:type="dxa"/>
          </w:tcPr>
          <w:p w:rsidR="001B2745" w:rsidRPr="009810B9" w:rsidRDefault="001B2745" w:rsidP="00753EB7">
            <w:pPr>
              <w:pStyle w:val="a9"/>
              <w:rPr>
                <w:rFonts w:asciiTheme="minorEastAsia" w:eastAsiaTheme="minorEastAsia" w:hAnsiTheme="minorEastAsia"/>
              </w:rPr>
            </w:pPr>
            <w:r w:rsidRPr="009810B9">
              <w:rPr>
                <w:rFonts w:asciiTheme="minorEastAsia" w:eastAsiaTheme="minorEastAsia" w:hAnsiTheme="minorEastAsia" w:hint="eastAsia"/>
              </w:rPr>
              <w:t>第4章施策の展開</w:t>
            </w:r>
          </w:p>
          <w:p w:rsidR="001B2745" w:rsidRPr="009810B9" w:rsidRDefault="001B2745" w:rsidP="00753EB7">
            <w:pPr>
              <w:pStyle w:val="a9"/>
              <w:rPr>
                <w:rFonts w:asciiTheme="minorEastAsia" w:eastAsiaTheme="minorEastAsia" w:hAnsiTheme="minorEastAsia"/>
              </w:rPr>
            </w:pPr>
            <w:r w:rsidRPr="009810B9">
              <w:rPr>
                <w:rFonts w:asciiTheme="minorEastAsia" w:eastAsiaTheme="minorEastAsia" w:hAnsiTheme="minorEastAsia" w:hint="eastAsia"/>
              </w:rPr>
              <w:t>10福祉と文化の融合</w:t>
            </w:r>
          </w:p>
          <w:p w:rsidR="001B2745" w:rsidRPr="009810B9" w:rsidRDefault="001B2745" w:rsidP="00753EB7">
            <w:pPr>
              <w:pStyle w:val="a9"/>
              <w:rPr>
                <w:rFonts w:asciiTheme="minorEastAsia" w:eastAsiaTheme="minorEastAsia" w:hAnsiTheme="minorEastAsia"/>
              </w:rPr>
            </w:pPr>
            <w:r w:rsidRPr="009810B9">
              <w:rPr>
                <w:rFonts w:asciiTheme="minorEastAsia" w:eastAsiaTheme="minorEastAsia" w:hAnsiTheme="minorEastAsia" w:hint="eastAsia"/>
              </w:rPr>
              <w:t>区内スポーツ施設（体育館・プールなど）障害児者が利用するにはハードルが高く、気軽に利用することができません。障害児者個人や放課後児童ディなどの事業所が個人・団体で気軽に利用できる仕組みを作ってください。</w:t>
            </w:r>
          </w:p>
          <w:p w:rsidR="001B2745" w:rsidRPr="00753EB7" w:rsidRDefault="001B2745" w:rsidP="00753EB7">
            <w:pPr>
              <w:ind w:firstLineChars="100" w:firstLine="210"/>
              <w:rPr>
                <w:rFonts w:asciiTheme="minorEastAsia" w:hAnsiTheme="minorEastAsia"/>
                <w:kern w:val="0"/>
                <w:szCs w:val="21"/>
              </w:rPr>
            </w:pPr>
          </w:p>
        </w:tc>
        <w:tc>
          <w:tcPr>
            <w:tcW w:w="567" w:type="dxa"/>
          </w:tcPr>
          <w:p w:rsidR="001B2745"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1B2745" w:rsidRPr="009810B9" w:rsidRDefault="001B2745" w:rsidP="00753EB7">
            <w:pPr>
              <w:rPr>
                <w:rFonts w:asciiTheme="minorEastAsia" w:hAnsiTheme="minorEastAsia"/>
                <w:szCs w:val="21"/>
              </w:rPr>
            </w:pPr>
            <w:r w:rsidRPr="009810B9">
              <w:rPr>
                <w:rFonts w:asciiTheme="minorEastAsia" w:hAnsiTheme="minorEastAsia" w:hint="eastAsia"/>
                <w:szCs w:val="21"/>
              </w:rPr>
              <w:t>区立体育施設において、気軽に利用できるための課題につきましては、ひとつは施設環境の整備という点がございます。今後、施設の大規模改修の際には、障害のある方に配慮した施設の設計に努めてまいります。</w:t>
            </w:r>
          </w:p>
          <w:p w:rsidR="001B2745" w:rsidRPr="009810B9" w:rsidRDefault="001B2745" w:rsidP="00753EB7">
            <w:pPr>
              <w:rPr>
                <w:rFonts w:asciiTheme="minorEastAsia" w:hAnsiTheme="minorEastAsia"/>
                <w:szCs w:val="21"/>
              </w:rPr>
            </w:pPr>
            <w:r>
              <w:rPr>
                <w:rFonts w:asciiTheme="minorEastAsia" w:hAnsiTheme="minorEastAsia" w:hint="eastAsia"/>
                <w:szCs w:val="21"/>
              </w:rPr>
              <w:t>また、区立体育施設では、区内に住所を有する障害者手帳をお持ちの方</w:t>
            </w:r>
            <w:r w:rsidRPr="009810B9">
              <w:rPr>
                <w:rFonts w:asciiTheme="minorEastAsia" w:hAnsiTheme="minorEastAsia" w:hint="eastAsia"/>
                <w:szCs w:val="21"/>
              </w:rPr>
              <w:t>とその介護者の皆様の利用料が免除となります。障害のある方を対象とした少人数でのパーソナルプログラムを導入している区立体育施設もございます。</w:t>
            </w:r>
          </w:p>
          <w:p w:rsidR="001B2745" w:rsidRPr="00753EB7" w:rsidRDefault="001B2745" w:rsidP="00753EB7">
            <w:pPr>
              <w:rPr>
                <w:rFonts w:asciiTheme="minorEastAsia" w:hAnsiTheme="minorEastAsia"/>
                <w:szCs w:val="21"/>
              </w:rPr>
            </w:pPr>
            <w:r w:rsidRPr="009810B9">
              <w:rPr>
                <w:rFonts w:asciiTheme="minorEastAsia" w:hAnsiTheme="minorEastAsia" w:hint="eastAsia"/>
                <w:szCs w:val="21"/>
              </w:rPr>
              <w:t>今後も障害のある方が使いやすい施設の整備に取組んでまいります。</w:t>
            </w:r>
          </w:p>
        </w:tc>
      </w:tr>
      <w:tr w:rsidR="001B2745" w:rsidRPr="009810B9" w:rsidTr="00753EB7">
        <w:trPr>
          <w:trHeight w:val="562"/>
        </w:trPr>
        <w:tc>
          <w:tcPr>
            <w:tcW w:w="704" w:type="dxa"/>
          </w:tcPr>
          <w:p w:rsidR="001B2745" w:rsidRPr="009810B9" w:rsidRDefault="00BC3AE7" w:rsidP="001E59F0">
            <w:pPr>
              <w:jc w:val="center"/>
              <w:rPr>
                <w:rFonts w:asciiTheme="minorEastAsia" w:hAnsiTheme="minorEastAsia"/>
                <w:szCs w:val="21"/>
              </w:rPr>
            </w:pPr>
            <w:r>
              <w:rPr>
                <w:rFonts w:asciiTheme="minorEastAsia" w:hAnsiTheme="minorEastAsia" w:hint="eastAsia"/>
                <w:szCs w:val="21"/>
              </w:rPr>
              <w:t>16</w:t>
            </w:r>
          </w:p>
        </w:tc>
        <w:tc>
          <w:tcPr>
            <w:tcW w:w="567" w:type="dxa"/>
          </w:tcPr>
          <w:p w:rsidR="001B2745" w:rsidRPr="009810B9" w:rsidRDefault="001B2745" w:rsidP="001E59F0">
            <w:pPr>
              <w:jc w:val="center"/>
              <w:rPr>
                <w:rFonts w:asciiTheme="minorEastAsia" w:hAnsiTheme="minorEastAsia"/>
                <w:szCs w:val="21"/>
              </w:rPr>
            </w:pPr>
            <w:r>
              <w:rPr>
                <w:rFonts w:asciiTheme="minorEastAsia" w:hAnsiTheme="minorEastAsia" w:hint="eastAsia"/>
                <w:szCs w:val="21"/>
              </w:rPr>
              <w:t>34～73</w:t>
            </w:r>
          </w:p>
        </w:tc>
        <w:tc>
          <w:tcPr>
            <w:tcW w:w="2693" w:type="dxa"/>
          </w:tcPr>
          <w:p w:rsidR="001B2745" w:rsidRPr="009810B9" w:rsidRDefault="001B2745" w:rsidP="001B2745">
            <w:pPr>
              <w:rPr>
                <w:rFonts w:asciiTheme="minorEastAsia" w:hAnsiTheme="minorEastAsia"/>
                <w:kern w:val="0"/>
                <w:szCs w:val="21"/>
              </w:rPr>
            </w:pPr>
            <w:r w:rsidRPr="009810B9">
              <w:rPr>
                <w:rFonts w:asciiTheme="minorEastAsia" w:hAnsiTheme="minorEastAsia" w:hint="eastAsia"/>
                <w:kern w:val="0"/>
                <w:szCs w:val="21"/>
              </w:rPr>
              <w:t>第4章施策の展開</w:t>
            </w:r>
          </w:p>
          <w:p w:rsidR="001B2745" w:rsidRPr="00753EB7" w:rsidRDefault="001B2745" w:rsidP="001E59F0">
            <w:pPr>
              <w:rPr>
                <w:rFonts w:asciiTheme="minorEastAsia" w:hAnsiTheme="minorEastAsia"/>
                <w:kern w:val="0"/>
                <w:szCs w:val="21"/>
              </w:rPr>
            </w:pPr>
            <w:r w:rsidRPr="009810B9">
              <w:rPr>
                <w:rFonts w:asciiTheme="minorEastAsia" w:hAnsiTheme="minorEastAsia" w:hint="eastAsia"/>
                <w:kern w:val="0"/>
                <w:szCs w:val="21"/>
              </w:rPr>
              <w:t>第4章の中に「障害者の高齢化」に対する施策をなんらかの対応を入れるべきではないか。</w:t>
            </w:r>
          </w:p>
        </w:tc>
        <w:tc>
          <w:tcPr>
            <w:tcW w:w="567" w:type="dxa"/>
          </w:tcPr>
          <w:p w:rsidR="001B2745" w:rsidRPr="009810B9" w:rsidRDefault="00F3182D" w:rsidP="001E59F0">
            <w:pPr>
              <w:jc w:val="center"/>
              <w:rPr>
                <w:rFonts w:asciiTheme="minorEastAsia" w:hAnsiTheme="minorEastAsia"/>
                <w:szCs w:val="21"/>
              </w:rPr>
            </w:pPr>
            <w:r>
              <w:rPr>
                <w:rFonts w:asciiTheme="minorEastAsia" w:hAnsiTheme="minorEastAsia" w:hint="eastAsia"/>
                <w:szCs w:val="21"/>
              </w:rPr>
              <w:t>１件</w:t>
            </w:r>
          </w:p>
        </w:tc>
        <w:tc>
          <w:tcPr>
            <w:tcW w:w="5812" w:type="dxa"/>
          </w:tcPr>
          <w:p w:rsidR="001B2745" w:rsidRPr="009810B9" w:rsidRDefault="001B2745" w:rsidP="001E59F0">
            <w:pPr>
              <w:rPr>
                <w:rFonts w:asciiTheme="minorEastAsia" w:hAnsiTheme="minorEastAsia"/>
                <w:szCs w:val="21"/>
              </w:rPr>
            </w:pPr>
            <w:r w:rsidRPr="009810B9">
              <w:rPr>
                <w:rFonts w:asciiTheme="minorEastAsia" w:hAnsiTheme="minorEastAsia" w:hint="eastAsia"/>
                <w:szCs w:val="21"/>
              </w:rPr>
              <w:t>「障害者の高齢化」は障害福祉分野と介護分野の連携が必要となる大きな課題として捉えています。本計画の施策の展開の章において、包括的な相談支援体制の構築や地域生活支援の充実で、その取組方針の中で、保健、医療、福祉等の連携を示しています。</w:t>
            </w:r>
          </w:p>
        </w:tc>
      </w:tr>
      <w:tr w:rsidR="001B2745" w:rsidRPr="009810B9" w:rsidTr="00753EB7">
        <w:trPr>
          <w:trHeight w:val="1361"/>
        </w:trPr>
        <w:tc>
          <w:tcPr>
            <w:tcW w:w="704" w:type="dxa"/>
          </w:tcPr>
          <w:p w:rsidR="001B2745" w:rsidRPr="009810B9" w:rsidRDefault="00BC3AE7" w:rsidP="001B2745">
            <w:pPr>
              <w:jc w:val="center"/>
              <w:rPr>
                <w:rFonts w:asciiTheme="minorEastAsia" w:hAnsiTheme="minorEastAsia"/>
                <w:szCs w:val="21"/>
              </w:rPr>
            </w:pPr>
            <w:r>
              <w:rPr>
                <w:rFonts w:asciiTheme="minorEastAsia" w:hAnsiTheme="minorEastAsia" w:hint="eastAsia"/>
                <w:szCs w:val="21"/>
              </w:rPr>
              <w:t>17</w:t>
            </w:r>
          </w:p>
        </w:tc>
        <w:tc>
          <w:tcPr>
            <w:tcW w:w="567" w:type="dxa"/>
          </w:tcPr>
          <w:p w:rsidR="001B2745" w:rsidRDefault="001B2745" w:rsidP="001B2745">
            <w:pPr>
              <w:jc w:val="center"/>
              <w:rPr>
                <w:rFonts w:asciiTheme="minorEastAsia" w:hAnsiTheme="minorEastAsia"/>
                <w:szCs w:val="21"/>
              </w:rPr>
            </w:pPr>
            <w:r>
              <w:rPr>
                <w:rFonts w:asciiTheme="minorEastAsia" w:hAnsiTheme="minorEastAsia" w:hint="eastAsia"/>
                <w:szCs w:val="21"/>
              </w:rPr>
              <w:t>-</w:t>
            </w:r>
          </w:p>
        </w:tc>
        <w:tc>
          <w:tcPr>
            <w:tcW w:w="2693" w:type="dxa"/>
          </w:tcPr>
          <w:p w:rsidR="001B2745" w:rsidRPr="009810B9" w:rsidRDefault="001B2745" w:rsidP="001B2745">
            <w:pPr>
              <w:pStyle w:val="a9"/>
              <w:rPr>
                <w:rFonts w:asciiTheme="minorEastAsia" w:eastAsiaTheme="minorEastAsia" w:hAnsiTheme="minorEastAsia"/>
              </w:rPr>
            </w:pPr>
            <w:r w:rsidRPr="009810B9">
              <w:rPr>
                <w:rFonts w:asciiTheme="minorEastAsia" w:eastAsiaTheme="minorEastAsia" w:hAnsiTheme="minorEastAsia" w:hint="eastAsia"/>
              </w:rPr>
              <w:t>子どもは小学校の「学童クラブ」を6</w:t>
            </w:r>
            <w:r>
              <w:rPr>
                <w:rFonts w:asciiTheme="minorEastAsia" w:eastAsiaTheme="minorEastAsia" w:hAnsiTheme="minorEastAsia" w:hint="eastAsia"/>
              </w:rPr>
              <w:t>年間利用しました。障害児のみが利用する「放課後児童デイ</w:t>
            </w:r>
            <w:r w:rsidRPr="009810B9">
              <w:rPr>
                <w:rFonts w:asciiTheme="minorEastAsia" w:eastAsiaTheme="minorEastAsia" w:hAnsiTheme="minorEastAsia" w:hint="eastAsia"/>
              </w:rPr>
              <w:t>」とはまた違い様々な子どもたちと接する中で、地域との関わりを持つことができ、本人の成長にとってもとても良かったと思います。これからも様々な子どもたちが安心して楽しく通える「学童クラブ」の運営をお願いします。</w:t>
            </w:r>
          </w:p>
        </w:tc>
        <w:tc>
          <w:tcPr>
            <w:tcW w:w="567" w:type="dxa"/>
          </w:tcPr>
          <w:p w:rsidR="001B2745" w:rsidRPr="009810B9" w:rsidRDefault="00F3182D" w:rsidP="001B2745">
            <w:pPr>
              <w:jc w:val="center"/>
              <w:rPr>
                <w:rFonts w:asciiTheme="minorEastAsia" w:hAnsiTheme="minorEastAsia"/>
                <w:szCs w:val="21"/>
              </w:rPr>
            </w:pPr>
            <w:r>
              <w:rPr>
                <w:rFonts w:asciiTheme="minorEastAsia" w:hAnsiTheme="minorEastAsia" w:hint="eastAsia"/>
                <w:szCs w:val="21"/>
              </w:rPr>
              <w:t>１件</w:t>
            </w:r>
          </w:p>
        </w:tc>
        <w:tc>
          <w:tcPr>
            <w:tcW w:w="5812" w:type="dxa"/>
          </w:tcPr>
          <w:p w:rsidR="001B2745" w:rsidRPr="009810B9" w:rsidRDefault="001B2745" w:rsidP="001B2745">
            <w:pPr>
              <w:rPr>
                <w:rFonts w:asciiTheme="minorEastAsia" w:hAnsiTheme="minorEastAsia"/>
                <w:szCs w:val="21"/>
              </w:rPr>
            </w:pPr>
            <w:r w:rsidRPr="009810B9">
              <w:rPr>
                <w:rFonts w:asciiTheme="minorEastAsia" w:hAnsiTheme="minorEastAsia" w:hint="eastAsia"/>
                <w:szCs w:val="21"/>
              </w:rPr>
              <w:t>「学童クラブ」では、障害を持つ児童も、審査会を経て1年生から6年生までの受け入れを現在も継続しています。また、平成30年度より、スクール・スキップサポーター制度を導入し、支援を要する児童に対し、学校から放課後まで切れ目のない支援を行っています。</w:t>
            </w:r>
          </w:p>
          <w:p w:rsidR="001B2745" w:rsidRPr="009810B9" w:rsidRDefault="001B2745" w:rsidP="001B2745">
            <w:pPr>
              <w:rPr>
                <w:rFonts w:asciiTheme="minorEastAsia" w:hAnsiTheme="minorEastAsia"/>
                <w:szCs w:val="21"/>
              </w:rPr>
            </w:pPr>
            <w:r w:rsidRPr="009810B9">
              <w:rPr>
                <w:rFonts w:asciiTheme="minorEastAsia" w:hAnsiTheme="minorEastAsia" w:hint="eastAsia"/>
                <w:szCs w:val="21"/>
              </w:rPr>
              <w:t>引き続き、障害を持つ児童も含め子どもたちが安心して楽しく過ごせるよう、「学童クラブ」「一般利用」「放課後子ども教室」が一体となり子どもスキップを運営してまいります。</w:t>
            </w:r>
          </w:p>
        </w:tc>
      </w:tr>
      <w:tr w:rsidR="001B2745" w:rsidRPr="009810B9" w:rsidTr="00753EB7">
        <w:trPr>
          <w:trHeight w:val="1361"/>
        </w:trPr>
        <w:tc>
          <w:tcPr>
            <w:tcW w:w="704" w:type="dxa"/>
          </w:tcPr>
          <w:p w:rsidR="001B2745" w:rsidRPr="009810B9" w:rsidRDefault="00BC3AE7" w:rsidP="001B2745">
            <w:pPr>
              <w:jc w:val="center"/>
              <w:rPr>
                <w:rFonts w:asciiTheme="minorEastAsia" w:hAnsiTheme="minorEastAsia"/>
                <w:szCs w:val="21"/>
              </w:rPr>
            </w:pPr>
            <w:r>
              <w:rPr>
                <w:rFonts w:asciiTheme="minorEastAsia" w:hAnsiTheme="minorEastAsia" w:hint="eastAsia"/>
                <w:szCs w:val="21"/>
              </w:rPr>
              <w:t>18</w:t>
            </w:r>
          </w:p>
        </w:tc>
        <w:tc>
          <w:tcPr>
            <w:tcW w:w="567" w:type="dxa"/>
          </w:tcPr>
          <w:p w:rsidR="001B2745" w:rsidRPr="009810B9" w:rsidRDefault="001B2745" w:rsidP="001B2745">
            <w:pPr>
              <w:jc w:val="center"/>
              <w:rPr>
                <w:rFonts w:asciiTheme="minorEastAsia" w:hAnsiTheme="minorEastAsia"/>
                <w:szCs w:val="21"/>
              </w:rPr>
            </w:pPr>
            <w:r>
              <w:rPr>
                <w:rFonts w:asciiTheme="minorEastAsia" w:hAnsiTheme="minorEastAsia" w:hint="eastAsia"/>
                <w:szCs w:val="21"/>
              </w:rPr>
              <w:t>-</w:t>
            </w:r>
          </w:p>
        </w:tc>
        <w:tc>
          <w:tcPr>
            <w:tcW w:w="2693" w:type="dxa"/>
          </w:tcPr>
          <w:p w:rsidR="001B2745" w:rsidRPr="00753EB7" w:rsidRDefault="001B2745" w:rsidP="001B2745">
            <w:pPr>
              <w:rPr>
                <w:rFonts w:asciiTheme="minorEastAsia" w:hAnsiTheme="minorEastAsia"/>
                <w:kern w:val="0"/>
                <w:szCs w:val="21"/>
              </w:rPr>
            </w:pPr>
            <w:r w:rsidRPr="009810B9">
              <w:rPr>
                <w:rFonts w:asciiTheme="minorEastAsia" w:hAnsiTheme="minorEastAsia" w:hint="eastAsia"/>
                <w:kern w:val="0"/>
                <w:szCs w:val="21"/>
              </w:rPr>
              <w:t>区内の支援級に通う小学生が増えています。中学校についても支援級の増設をお願いします。また以前支援級のあった千川中学校でも今回の建替えをキッカケに支援級の再開をしてください。</w:t>
            </w:r>
          </w:p>
        </w:tc>
        <w:tc>
          <w:tcPr>
            <w:tcW w:w="567" w:type="dxa"/>
          </w:tcPr>
          <w:p w:rsidR="001B2745" w:rsidRPr="009810B9" w:rsidRDefault="00F3182D" w:rsidP="001B2745">
            <w:pPr>
              <w:jc w:val="center"/>
              <w:rPr>
                <w:rFonts w:asciiTheme="minorEastAsia" w:hAnsiTheme="minorEastAsia"/>
                <w:szCs w:val="21"/>
              </w:rPr>
            </w:pPr>
            <w:r>
              <w:rPr>
                <w:rFonts w:asciiTheme="minorEastAsia" w:hAnsiTheme="minorEastAsia" w:hint="eastAsia"/>
                <w:szCs w:val="21"/>
              </w:rPr>
              <w:t>１件</w:t>
            </w:r>
          </w:p>
        </w:tc>
        <w:tc>
          <w:tcPr>
            <w:tcW w:w="5812" w:type="dxa"/>
          </w:tcPr>
          <w:p w:rsidR="001B2745" w:rsidRPr="009810B9" w:rsidRDefault="001B2745" w:rsidP="001B2745">
            <w:pPr>
              <w:rPr>
                <w:rFonts w:asciiTheme="minorEastAsia" w:hAnsiTheme="minorEastAsia"/>
                <w:szCs w:val="21"/>
              </w:rPr>
            </w:pPr>
            <w:r w:rsidRPr="009810B9">
              <w:rPr>
                <w:rFonts w:asciiTheme="minorEastAsia" w:hAnsiTheme="minorEastAsia" w:hint="eastAsia"/>
                <w:szCs w:val="21"/>
              </w:rPr>
              <w:t>中学校の支援級の増設については、豊島区の特別支援教育にかかわる委員会を令和3年度立ち上げ検討していく予定です。</w:t>
            </w:r>
          </w:p>
          <w:p w:rsidR="001B2745" w:rsidRPr="009810B9" w:rsidRDefault="001B2745" w:rsidP="001B2745">
            <w:pPr>
              <w:rPr>
                <w:rFonts w:asciiTheme="minorEastAsia" w:hAnsiTheme="minorEastAsia"/>
                <w:szCs w:val="21"/>
              </w:rPr>
            </w:pPr>
            <w:r w:rsidRPr="009810B9">
              <w:rPr>
                <w:rFonts w:asciiTheme="minorEastAsia" w:hAnsiTheme="minorEastAsia" w:hint="eastAsia"/>
                <w:szCs w:val="21"/>
              </w:rPr>
              <w:t>その中で、今後の児童・生徒数も考えながら千川中学校の特別支援学級の再開についても検討してまいります。</w:t>
            </w:r>
          </w:p>
        </w:tc>
      </w:tr>
      <w:tr w:rsidR="001B2745" w:rsidRPr="009810B9" w:rsidTr="00753EB7">
        <w:trPr>
          <w:trHeight w:val="1361"/>
        </w:trPr>
        <w:tc>
          <w:tcPr>
            <w:tcW w:w="704" w:type="dxa"/>
          </w:tcPr>
          <w:p w:rsidR="001B2745" w:rsidRPr="009810B9" w:rsidRDefault="00BC3AE7" w:rsidP="001B2745">
            <w:pPr>
              <w:jc w:val="center"/>
              <w:rPr>
                <w:rFonts w:asciiTheme="minorEastAsia" w:hAnsiTheme="minorEastAsia"/>
                <w:szCs w:val="21"/>
              </w:rPr>
            </w:pPr>
            <w:r>
              <w:rPr>
                <w:rFonts w:asciiTheme="minorEastAsia" w:hAnsiTheme="minorEastAsia" w:hint="eastAsia"/>
                <w:szCs w:val="21"/>
              </w:rPr>
              <w:t>19</w:t>
            </w:r>
          </w:p>
        </w:tc>
        <w:tc>
          <w:tcPr>
            <w:tcW w:w="567" w:type="dxa"/>
          </w:tcPr>
          <w:p w:rsidR="001B2745" w:rsidRPr="009810B9" w:rsidRDefault="001B2745" w:rsidP="001B2745">
            <w:pPr>
              <w:jc w:val="center"/>
              <w:rPr>
                <w:rFonts w:asciiTheme="minorEastAsia" w:hAnsiTheme="minorEastAsia"/>
                <w:szCs w:val="21"/>
              </w:rPr>
            </w:pPr>
            <w:r>
              <w:rPr>
                <w:rFonts w:asciiTheme="minorEastAsia" w:hAnsiTheme="minorEastAsia" w:hint="eastAsia"/>
                <w:szCs w:val="21"/>
              </w:rPr>
              <w:t>-</w:t>
            </w:r>
          </w:p>
        </w:tc>
        <w:tc>
          <w:tcPr>
            <w:tcW w:w="2693" w:type="dxa"/>
          </w:tcPr>
          <w:p w:rsidR="001B2745" w:rsidRPr="009810B9" w:rsidRDefault="001B2745" w:rsidP="001B2745">
            <w:pPr>
              <w:ind w:left="36" w:hangingChars="17" w:hanging="36"/>
              <w:rPr>
                <w:rFonts w:asciiTheme="minorEastAsia" w:hAnsiTheme="minorEastAsia"/>
                <w:szCs w:val="21"/>
              </w:rPr>
            </w:pPr>
            <w:r w:rsidRPr="009810B9">
              <w:rPr>
                <w:rFonts w:asciiTheme="minorEastAsia" w:hAnsiTheme="minorEastAsia" w:hint="eastAsia"/>
                <w:szCs w:val="21"/>
              </w:rPr>
              <w:t>「としまキッズパーク」ができ、利用対象は「小学校低学年・障がいのある子ども向け」とあります。区内保育施設や幼稚園年長児は招待されていますが、障害児施設に通う子どもなどには招待がありませんでした。来年度以降も年長児招待があるのなら障害児に対しても招待をしてください。また差別にならないよう、施設に通わないすべての子ども（年長児など）にも招待を行ってください。</w:t>
            </w:r>
          </w:p>
          <w:p w:rsidR="001B2745" w:rsidRPr="009810B9" w:rsidRDefault="001B2745" w:rsidP="001B2745">
            <w:pPr>
              <w:rPr>
                <w:rFonts w:asciiTheme="minorEastAsia" w:hAnsiTheme="minorEastAsia"/>
                <w:kern w:val="0"/>
                <w:szCs w:val="21"/>
              </w:rPr>
            </w:pPr>
          </w:p>
        </w:tc>
        <w:tc>
          <w:tcPr>
            <w:tcW w:w="567" w:type="dxa"/>
          </w:tcPr>
          <w:p w:rsidR="001B2745" w:rsidRPr="009810B9" w:rsidRDefault="00F3182D" w:rsidP="001B2745">
            <w:pPr>
              <w:jc w:val="center"/>
              <w:rPr>
                <w:rFonts w:asciiTheme="minorEastAsia" w:hAnsiTheme="minorEastAsia"/>
                <w:szCs w:val="21"/>
              </w:rPr>
            </w:pPr>
            <w:r>
              <w:rPr>
                <w:rFonts w:asciiTheme="minorEastAsia" w:hAnsiTheme="minorEastAsia" w:hint="eastAsia"/>
                <w:szCs w:val="21"/>
              </w:rPr>
              <w:t>１件</w:t>
            </w:r>
            <w:bookmarkStart w:id="0" w:name="_GoBack"/>
            <w:bookmarkEnd w:id="0"/>
          </w:p>
        </w:tc>
        <w:tc>
          <w:tcPr>
            <w:tcW w:w="5812" w:type="dxa"/>
          </w:tcPr>
          <w:p w:rsidR="001B2745" w:rsidRDefault="001B2745" w:rsidP="001B2745">
            <w:pPr>
              <w:rPr>
                <w:rFonts w:asciiTheme="minorEastAsia" w:hAnsiTheme="minorEastAsia"/>
                <w:szCs w:val="21"/>
              </w:rPr>
            </w:pPr>
            <w:r w:rsidRPr="00950CDA">
              <w:rPr>
                <w:rFonts w:asciiTheme="minorEastAsia" w:hAnsiTheme="minorEastAsia" w:hint="eastAsia"/>
                <w:szCs w:val="21"/>
              </w:rPr>
              <w:t>現在、区内保育施設と幼稚園では、園外保育の一環として「としまキッズパーク」への送迎を行っております。</w:t>
            </w:r>
          </w:p>
          <w:p w:rsidR="001B2745" w:rsidRPr="00950CDA" w:rsidRDefault="001B2745" w:rsidP="001B2745">
            <w:pPr>
              <w:rPr>
                <w:rFonts w:asciiTheme="minorEastAsia" w:hAnsiTheme="minorEastAsia"/>
                <w:szCs w:val="21"/>
              </w:rPr>
            </w:pPr>
            <w:r w:rsidRPr="00950CDA">
              <w:rPr>
                <w:rFonts w:asciiTheme="minorEastAsia" w:hAnsiTheme="minorEastAsia" w:hint="eastAsia"/>
                <w:szCs w:val="21"/>
              </w:rPr>
              <w:t>障害児施設につきましても、園外保育を行うための十分な職員数や移動手段など安全確保ができている施設ではご利用いただいておりますが、</w:t>
            </w:r>
            <w:r>
              <w:rPr>
                <w:rFonts w:asciiTheme="minorEastAsia" w:hAnsiTheme="minorEastAsia" w:hint="eastAsia"/>
                <w:szCs w:val="21"/>
              </w:rPr>
              <w:t>在園児の障害の程度によって引率に必要な職員数や送迎の手段が</w:t>
            </w:r>
            <w:r w:rsidRPr="00950CDA">
              <w:rPr>
                <w:rFonts w:asciiTheme="minorEastAsia" w:hAnsiTheme="minorEastAsia" w:hint="eastAsia"/>
                <w:szCs w:val="21"/>
              </w:rPr>
              <w:t>変わる</w:t>
            </w:r>
            <w:r>
              <w:rPr>
                <w:rFonts w:asciiTheme="minorEastAsia" w:hAnsiTheme="minorEastAsia" w:hint="eastAsia"/>
                <w:szCs w:val="21"/>
              </w:rPr>
              <w:t>など、施設によって</w:t>
            </w:r>
            <w:r w:rsidRPr="00950CDA">
              <w:rPr>
                <w:rFonts w:asciiTheme="minorEastAsia" w:hAnsiTheme="minorEastAsia" w:hint="eastAsia"/>
                <w:szCs w:val="21"/>
              </w:rPr>
              <w:t>安</w:t>
            </w:r>
            <w:r>
              <w:rPr>
                <w:rFonts w:asciiTheme="minorEastAsia" w:hAnsiTheme="minorEastAsia" w:hint="eastAsia"/>
                <w:szCs w:val="21"/>
              </w:rPr>
              <w:t>全な園外保育を実施するための事情が異なることから、</w:t>
            </w:r>
            <w:r w:rsidRPr="00950CDA">
              <w:rPr>
                <w:rFonts w:asciiTheme="minorEastAsia" w:hAnsiTheme="minorEastAsia" w:hint="eastAsia"/>
                <w:szCs w:val="21"/>
              </w:rPr>
              <w:t>施設</w:t>
            </w:r>
            <w:r>
              <w:rPr>
                <w:rFonts w:asciiTheme="minorEastAsia" w:hAnsiTheme="minorEastAsia" w:hint="eastAsia"/>
                <w:szCs w:val="21"/>
              </w:rPr>
              <w:t>によっては</w:t>
            </w:r>
            <w:r w:rsidRPr="00950CDA">
              <w:rPr>
                <w:rFonts w:asciiTheme="minorEastAsia" w:hAnsiTheme="minorEastAsia" w:hint="eastAsia"/>
                <w:szCs w:val="21"/>
              </w:rPr>
              <w:t>ご利用ができて</w:t>
            </w:r>
            <w:r>
              <w:rPr>
                <w:rFonts w:asciiTheme="minorEastAsia" w:hAnsiTheme="minorEastAsia" w:hint="eastAsia"/>
                <w:szCs w:val="21"/>
              </w:rPr>
              <w:t>いない状況となっています。</w:t>
            </w:r>
          </w:p>
          <w:p w:rsidR="001B2745" w:rsidRPr="00AE77B5" w:rsidRDefault="001B2745" w:rsidP="001B2745">
            <w:pPr>
              <w:rPr>
                <w:rFonts w:asciiTheme="minorEastAsia" w:hAnsiTheme="minorEastAsia"/>
                <w:color w:val="000000" w:themeColor="text1"/>
                <w:szCs w:val="21"/>
              </w:rPr>
            </w:pPr>
            <w:r>
              <w:rPr>
                <w:rFonts w:asciiTheme="minorEastAsia" w:hAnsiTheme="minorEastAsia" w:hint="eastAsia"/>
                <w:color w:val="000000" w:themeColor="text1"/>
                <w:szCs w:val="21"/>
              </w:rPr>
              <w:t>今後、</w:t>
            </w:r>
            <w:r w:rsidRPr="00411681">
              <w:rPr>
                <w:rFonts w:asciiTheme="minorEastAsia" w:hAnsiTheme="minorEastAsia" w:hint="eastAsia"/>
                <w:color w:val="000000" w:themeColor="text1"/>
                <w:szCs w:val="21"/>
              </w:rPr>
              <w:t>各施設関係者からのご意見を伺ったうえで、実施に向けた課題の検討を行ってまいります。</w:t>
            </w:r>
          </w:p>
          <w:p w:rsidR="001B2745" w:rsidRPr="00753EB7" w:rsidRDefault="001B2745" w:rsidP="001B2745">
            <w:pPr>
              <w:rPr>
                <w:rFonts w:asciiTheme="minorEastAsia" w:hAnsiTheme="minorEastAsia"/>
                <w:szCs w:val="21"/>
              </w:rPr>
            </w:pPr>
            <w:r w:rsidRPr="00950CDA">
              <w:rPr>
                <w:rFonts w:asciiTheme="minorEastAsia" w:hAnsiTheme="minorEastAsia" w:hint="eastAsia"/>
                <w:szCs w:val="21"/>
              </w:rPr>
              <w:t>なお、</w:t>
            </w:r>
            <w:r>
              <w:rPr>
                <w:rFonts w:asciiTheme="minorEastAsia" w:hAnsiTheme="minorEastAsia" w:hint="eastAsia"/>
                <w:szCs w:val="21"/>
              </w:rPr>
              <w:t>これらの施設では園外保育の一環として「としまキッズパーク」を利用していますが、施設に通わないお子様でも予約によりどなたでも来場が可能ですので、ぜひご利用ください。</w:t>
            </w:r>
          </w:p>
        </w:tc>
      </w:tr>
    </w:tbl>
    <w:p w:rsidR="00A80CE8" w:rsidRPr="00CE4FDB" w:rsidRDefault="00A80CE8"/>
    <w:sectPr w:rsidR="00A80CE8" w:rsidRPr="00CE4FDB" w:rsidSect="00CE4F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DB" w:rsidRDefault="00CE4FDB" w:rsidP="00CE4FDB">
      <w:r>
        <w:separator/>
      </w:r>
    </w:p>
  </w:endnote>
  <w:endnote w:type="continuationSeparator" w:id="0">
    <w:p w:rsidR="00CE4FDB" w:rsidRDefault="00CE4FDB" w:rsidP="00CE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DB" w:rsidRDefault="00CE4FDB" w:rsidP="00CE4FDB">
      <w:r>
        <w:separator/>
      </w:r>
    </w:p>
  </w:footnote>
  <w:footnote w:type="continuationSeparator" w:id="0">
    <w:p w:rsidR="00CE4FDB" w:rsidRDefault="00CE4FDB" w:rsidP="00CE4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B26"/>
    <w:rsid w:val="001B2745"/>
    <w:rsid w:val="00200B26"/>
    <w:rsid w:val="00753EB7"/>
    <w:rsid w:val="00A80CE8"/>
    <w:rsid w:val="00BC3AE7"/>
    <w:rsid w:val="00CE4FDB"/>
    <w:rsid w:val="00D241BA"/>
    <w:rsid w:val="00F31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C18DC8A-57EB-41B3-9183-02C184BB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F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FDB"/>
    <w:pPr>
      <w:tabs>
        <w:tab w:val="center" w:pos="4252"/>
        <w:tab w:val="right" w:pos="8504"/>
      </w:tabs>
      <w:snapToGrid w:val="0"/>
    </w:pPr>
  </w:style>
  <w:style w:type="character" w:customStyle="1" w:styleId="a4">
    <w:name w:val="ヘッダー (文字)"/>
    <w:basedOn w:val="a0"/>
    <w:link w:val="a3"/>
    <w:uiPriority w:val="99"/>
    <w:rsid w:val="00CE4FDB"/>
  </w:style>
  <w:style w:type="paragraph" w:styleId="a5">
    <w:name w:val="footer"/>
    <w:basedOn w:val="a"/>
    <w:link w:val="a6"/>
    <w:uiPriority w:val="99"/>
    <w:unhideWhenUsed/>
    <w:rsid w:val="00CE4FDB"/>
    <w:pPr>
      <w:tabs>
        <w:tab w:val="center" w:pos="4252"/>
        <w:tab w:val="right" w:pos="8504"/>
      </w:tabs>
      <w:snapToGrid w:val="0"/>
    </w:pPr>
  </w:style>
  <w:style w:type="character" w:customStyle="1" w:styleId="a6">
    <w:name w:val="フッター (文字)"/>
    <w:basedOn w:val="a0"/>
    <w:link w:val="a5"/>
    <w:uiPriority w:val="99"/>
    <w:rsid w:val="00CE4FDB"/>
  </w:style>
  <w:style w:type="table" w:styleId="a7">
    <w:name w:val="Table Grid"/>
    <w:basedOn w:val="a1"/>
    <w:uiPriority w:val="39"/>
    <w:rsid w:val="00CE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書式なし (文字)"/>
    <w:link w:val="a9"/>
    <w:uiPriority w:val="99"/>
    <w:locked/>
    <w:rsid w:val="00CE4FDB"/>
    <w:rPr>
      <w:rFonts w:ascii="ＭＳ ゴシック" w:eastAsia="ＭＳ ゴシック" w:hAnsi="Courier New"/>
      <w:szCs w:val="21"/>
    </w:rPr>
  </w:style>
  <w:style w:type="paragraph" w:styleId="a9">
    <w:name w:val="Plain Text"/>
    <w:basedOn w:val="a"/>
    <w:link w:val="a8"/>
    <w:uiPriority w:val="99"/>
    <w:rsid w:val="00CE4FDB"/>
    <w:pPr>
      <w:jc w:val="left"/>
    </w:pPr>
    <w:rPr>
      <w:rFonts w:ascii="ＭＳ ゴシック" w:eastAsia="ＭＳ ゴシック" w:hAnsi="Courier New"/>
      <w:szCs w:val="21"/>
    </w:rPr>
  </w:style>
  <w:style w:type="character" w:customStyle="1" w:styleId="1">
    <w:name w:val="書式なし (文字)1"/>
    <w:basedOn w:val="a0"/>
    <w:uiPriority w:val="99"/>
    <w:semiHidden/>
    <w:rsid w:val="00CE4FDB"/>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822</Words>
  <Characters>4689</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福村 友子</dc:creator>
  <cp:keywords/>
  <dc:description/>
  <cp:lastModifiedBy>福村 友子</cp:lastModifiedBy>
  <cp:revision>3</cp:revision>
  <dcterms:created xsi:type="dcterms:W3CDTF">2021-03-26T09:41:00Z</dcterms:created>
  <dcterms:modified xsi:type="dcterms:W3CDTF">2021-03-29T03:57:00Z</dcterms:modified>
</cp:coreProperties>
</file>