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23E32"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＜池袋駅西</w:t>
      </w:r>
      <w:r w:rsidR="00370714">
        <w:rPr>
          <w:rFonts w:ascii="HG丸ｺﾞｼｯｸM-PRO" w:eastAsia="HG丸ｺﾞｼｯｸM-PRO" w:hAnsi="HG丸ｺﾞｼｯｸM-PRO" w:hint="eastAsia"/>
          <w:b/>
          <w:sz w:val="28"/>
          <w:szCs w:val="28"/>
        </w:rPr>
        <w:t>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1369D9">
        <w:rPr>
          <w:rFonts w:ascii="HG丸ｺﾞｼｯｸM-PRO" w:eastAsia="HG丸ｺﾞｼｯｸM-PRO" w:hAnsi="HG丸ｺﾞｼｯｸM-PRO" w:hint="eastAsia"/>
          <w:b/>
          <w:sz w:val="28"/>
          <w:szCs w:val="28"/>
        </w:rPr>
        <w:t>公共施設等集積</w:t>
      </w:r>
      <w:r>
        <w:rPr>
          <w:rFonts w:ascii="HG丸ｺﾞｼｯｸM-PRO" w:eastAsia="HG丸ｺﾞｼｯｸM-PRO" w:hAnsi="HG丸ｺﾞｼｯｸM-PRO" w:hint="eastAsia"/>
          <w:b/>
          <w:sz w:val="28"/>
          <w:szCs w:val="28"/>
        </w:rPr>
        <w:t>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9141FA" w:rsidRDefault="009141FA" w:rsidP="00303ADC">
            <w:pPr>
              <w:rPr>
                <w:rFonts w:ascii="HG丸ｺﾞｼｯｸM-PRO" w:eastAsia="HG丸ｺﾞｼｯｸM-PRO" w:hAnsi="HG丸ｺﾞｼｯｸM-PRO"/>
                <w:b/>
                <w:sz w:val="22"/>
              </w:rPr>
            </w:pPr>
          </w:p>
          <w:p w:rsidR="001369D9" w:rsidRDefault="001369D9" w:rsidP="00303ADC">
            <w:pPr>
              <w:rPr>
                <w:rFonts w:ascii="HG丸ｺﾞｼｯｸM-PRO" w:eastAsia="HG丸ｺﾞｼｯｸM-PRO" w:hAnsi="HG丸ｺﾞｼｯｸM-PRO" w:hint="eastAsia"/>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1369D9" w:rsidRPr="00855ECA" w:rsidTr="000A3804">
        <w:trPr>
          <w:trHeight w:val="247"/>
        </w:trPr>
        <w:tc>
          <w:tcPr>
            <w:tcW w:w="943" w:type="dxa"/>
            <w:vMerge w:val="restart"/>
            <w:tcBorders>
              <w:top w:val="single" w:sz="12" w:space="0" w:color="auto"/>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○歩行者に圧迫感や威圧感を与えないように努める。</w:t>
            </w:r>
          </w:p>
        </w:tc>
      </w:tr>
      <w:tr w:rsidR="001369D9" w:rsidRPr="00855ECA" w:rsidTr="000A3804">
        <w:trPr>
          <w:trHeight w:val="1214"/>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B533F2">
            <w:pPr>
              <w:rPr>
                <w:rFonts w:ascii="HG丸ｺﾞｼｯｸM-PRO" w:eastAsia="HG丸ｺﾞｼｯｸM-PRO" w:hAnsi="HG丸ｺﾞｼｯｸM-PRO"/>
              </w:rPr>
            </w:pPr>
          </w:p>
          <w:p w:rsidR="001369D9" w:rsidRPr="00855ECA" w:rsidRDefault="001369D9" w:rsidP="00B533F2">
            <w:pPr>
              <w:rPr>
                <w:rFonts w:ascii="HG丸ｺﾞｼｯｸM-PRO" w:eastAsia="HG丸ｺﾞｼｯｸM-PRO" w:hAnsi="HG丸ｺﾞｼｯｸM-PRO"/>
              </w:rPr>
            </w:pPr>
          </w:p>
        </w:tc>
      </w:tr>
      <w:tr w:rsidR="001369D9" w:rsidRPr="00855ECA" w:rsidTr="000A3804">
        <w:trPr>
          <w:trHeight w:val="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1369D9" w:rsidRPr="00855ECA" w:rsidTr="000A3804">
        <w:trPr>
          <w:trHeight w:val="1256"/>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044700">
            <w:pPr>
              <w:rPr>
                <w:rFonts w:ascii="HG丸ｺﾞｼｯｸM-PRO" w:eastAsia="HG丸ｺﾞｼｯｸM-PRO" w:hAnsi="HG丸ｺﾞｼｯｸM-PRO"/>
              </w:rPr>
            </w:pPr>
          </w:p>
          <w:p w:rsidR="001369D9" w:rsidRPr="00855ECA" w:rsidRDefault="001369D9" w:rsidP="00044700">
            <w:pPr>
              <w:rPr>
                <w:rFonts w:ascii="HG丸ｺﾞｼｯｸM-PRO" w:eastAsia="HG丸ｺﾞｼｯｸM-PRO" w:hAnsi="HG丸ｺﾞｼｯｸM-PRO"/>
              </w:rPr>
            </w:pPr>
          </w:p>
        </w:tc>
      </w:tr>
      <w:tr w:rsidR="001369D9" w:rsidRPr="00855ECA" w:rsidTr="000A3804">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○敷地内に残すべき景観資源（遺構、樹木、池、湧水等）がある場合には、これを生かした計画とする。</w:t>
            </w:r>
          </w:p>
        </w:tc>
      </w:tr>
      <w:tr w:rsidR="001369D9" w:rsidRPr="00855ECA" w:rsidTr="00B47C0C">
        <w:trPr>
          <w:trHeight w:val="120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5A1873">
            <w:pPr>
              <w:rPr>
                <w:rFonts w:ascii="HG丸ｺﾞｼｯｸM-PRO" w:eastAsia="HG丸ｺﾞｼｯｸM-PRO" w:hAnsi="HG丸ｺﾞｼｯｸM-PRO"/>
              </w:rPr>
            </w:pPr>
          </w:p>
          <w:p w:rsidR="001369D9" w:rsidRPr="00855ECA" w:rsidRDefault="001369D9" w:rsidP="005A1873">
            <w:pPr>
              <w:rPr>
                <w:rFonts w:ascii="HG丸ｺﾞｼｯｸM-PRO" w:eastAsia="HG丸ｺﾞｼｯｸM-PRO" w:hAnsi="HG丸ｺﾞｼｯｸM-PRO"/>
              </w:rPr>
            </w:pPr>
          </w:p>
        </w:tc>
      </w:tr>
      <w:tr w:rsidR="001369D9" w:rsidRPr="00855ECA" w:rsidTr="00695DBF">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23E32">
              <w:rPr>
                <w:rFonts w:ascii="HG丸ｺﾞｼｯｸM-PRO" w:eastAsia="HG丸ｺﾞｼｯｸM-PRO" w:hAnsi="HG丸ｺﾞｼｯｸM-PRO" w:hint="eastAsia"/>
              </w:rPr>
              <w:t>池袋駅の地下からの出口や、ウイーロード、ビックリガードなどからの人の流れを考慮し、歩行者空間の連続性などに配慮した計画とする。</w:t>
            </w:r>
          </w:p>
        </w:tc>
      </w:tr>
      <w:tr w:rsidR="001369D9" w:rsidRPr="00855ECA" w:rsidTr="001369D9">
        <w:trPr>
          <w:trHeight w:val="1378"/>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351A21">
            <w:pPr>
              <w:rPr>
                <w:rFonts w:ascii="HG丸ｺﾞｼｯｸM-PRO" w:eastAsia="HG丸ｺﾞｼｯｸM-PRO" w:hAnsi="HG丸ｺﾞｼｯｸM-PRO"/>
              </w:rPr>
            </w:pPr>
          </w:p>
          <w:p w:rsidR="001369D9" w:rsidRPr="00855ECA" w:rsidRDefault="001369D9" w:rsidP="00351A21">
            <w:pPr>
              <w:rPr>
                <w:rFonts w:ascii="HG丸ｺﾞｼｯｸM-PRO" w:eastAsia="HG丸ｺﾞｼｯｸM-PRO" w:hAnsi="HG丸ｺﾞｼｯｸM-PRO" w:hint="eastAsia"/>
              </w:rPr>
            </w:pPr>
          </w:p>
        </w:tc>
      </w:tr>
      <w:tr w:rsidR="001369D9" w:rsidRPr="00855ECA" w:rsidTr="001369D9">
        <w:trPr>
          <w:trHeight w:val="77"/>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○壁面の位置などの工夫により、敷地内に店舗等のあふれ出しの空間を確保するよう努める。</w:t>
            </w:r>
          </w:p>
        </w:tc>
      </w:tr>
      <w:tr w:rsidR="001369D9" w:rsidRPr="00855ECA" w:rsidTr="001369D9">
        <w:trPr>
          <w:trHeight w:val="1177"/>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73455D">
            <w:pPr>
              <w:ind w:left="210" w:hangingChars="100" w:hanging="210"/>
              <w:rPr>
                <w:rFonts w:ascii="HG丸ｺﾞｼｯｸM-PRO" w:eastAsia="HG丸ｺﾞｼｯｸM-PRO" w:hAnsi="HG丸ｺﾞｼｯｸM-PRO"/>
              </w:rPr>
            </w:pPr>
          </w:p>
          <w:p w:rsidR="001369D9" w:rsidRDefault="001369D9" w:rsidP="0073455D">
            <w:pPr>
              <w:ind w:left="210" w:hangingChars="100" w:hanging="210"/>
              <w:rPr>
                <w:rFonts w:ascii="HG丸ｺﾞｼｯｸM-PRO" w:eastAsia="HG丸ｺﾞｼｯｸM-PRO" w:hAnsi="HG丸ｺﾞｼｯｸM-PRO" w:hint="eastAsia"/>
              </w:rPr>
            </w:pPr>
          </w:p>
        </w:tc>
      </w:tr>
      <w:tr w:rsidR="001369D9" w:rsidRPr="00855ECA" w:rsidTr="001369D9">
        <w:trPr>
          <w:trHeight w:val="96"/>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sidRPr="001369D9">
              <w:rPr>
                <w:rFonts w:ascii="HG丸ｺﾞｼｯｸM-PRO" w:eastAsia="HG丸ｺﾞｼｯｸM-PRO" w:hAnsi="HG丸ｺﾞｼｯｸM-PRO" w:hint="eastAsia"/>
              </w:rPr>
              <w:t>○道路などの公共空間と連続したオープンスペースの確保など、公共空間との関係に配慮する。</w:t>
            </w:r>
          </w:p>
        </w:tc>
      </w:tr>
      <w:tr w:rsidR="001369D9" w:rsidRPr="00855ECA" w:rsidTr="001369D9">
        <w:trPr>
          <w:trHeight w:val="1293"/>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Default="001369D9" w:rsidP="001369D9">
            <w:pPr>
              <w:rPr>
                <w:rFonts w:ascii="HG丸ｺﾞｼｯｸM-PRO" w:eastAsia="HG丸ｺﾞｼｯｸM-PRO" w:hAnsi="HG丸ｺﾞｼｯｸM-PRO" w:hint="eastAsia"/>
              </w:rPr>
            </w:pPr>
          </w:p>
        </w:tc>
      </w:tr>
      <w:tr w:rsidR="001369D9" w:rsidRPr="00855ECA" w:rsidTr="000A3804">
        <w:trPr>
          <w:trHeight w:val="180"/>
        </w:trPr>
        <w:tc>
          <w:tcPr>
            <w:tcW w:w="943" w:type="dxa"/>
            <w:vMerge w:val="restart"/>
            <w:tcBorders>
              <w:top w:val="single" w:sz="12" w:space="0" w:color="auto"/>
              <w:left w:val="single" w:sz="12" w:space="0" w:color="auto"/>
              <w:right w:val="single" w:sz="4" w:space="0" w:color="auto"/>
            </w:tcBorders>
          </w:tcPr>
          <w:p w:rsidR="001369D9"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1369D9" w:rsidRPr="00855ECA"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B47C0C">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B47C0C">
              <w:rPr>
                <w:rFonts w:ascii="HG丸ｺﾞｼｯｸM-PRO" w:eastAsia="HG丸ｺﾞｼｯｸM-PRO" w:hAnsi="HG丸ｺﾞｼｯｸM-PRO" w:hint="eastAsia"/>
              </w:rPr>
              <w:t>道路や公園、広場など周辺の見通しのきく場所からの見え方に配慮する。</w:t>
            </w:r>
          </w:p>
        </w:tc>
      </w:tr>
      <w:tr w:rsidR="001369D9" w:rsidRPr="00855ECA" w:rsidTr="00C5127C">
        <w:trPr>
          <w:trHeight w:val="1435"/>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1369D9" w:rsidRPr="00855ECA" w:rsidRDefault="001369D9"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C67476">
            <w:pPr>
              <w:rPr>
                <w:rFonts w:ascii="HG丸ｺﾞｼｯｸM-PRO" w:eastAsia="HG丸ｺﾞｼｯｸM-PRO" w:hAnsi="HG丸ｺﾞｼｯｸM-PRO"/>
              </w:rPr>
            </w:pPr>
          </w:p>
          <w:p w:rsidR="001369D9" w:rsidRPr="00855ECA" w:rsidRDefault="001369D9" w:rsidP="00C67476">
            <w:pPr>
              <w:rPr>
                <w:rFonts w:ascii="HG丸ｺﾞｼｯｸM-PRO" w:eastAsia="HG丸ｺﾞｼｯｸM-PRO" w:hAnsi="HG丸ｺﾞｼｯｸM-PRO"/>
              </w:rPr>
            </w:pPr>
          </w:p>
        </w:tc>
      </w:tr>
      <w:tr w:rsidR="001369D9" w:rsidRPr="00855ECA" w:rsidTr="001369D9">
        <w:trPr>
          <w:trHeight w:val="76"/>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1369D9">
            <w:pPr>
              <w:ind w:left="210" w:hangingChars="100" w:hanging="210"/>
              <w:rPr>
                <w:rFonts w:ascii="HG丸ｺﾞｼｯｸM-PRO" w:eastAsia="HG丸ｺﾞｼｯｸM-PRO" w:hAnsi="HG丸ｺﾞｼｯｸM-PRO" w:hint="eastAsia"/>
              </w:rPr>
            </w:pPr>
            <w:r w:rsidRPr="001369D9">
              <w:rPr>
                <w:rFonts w:ascii="HG丸ｺﾞｼｯｸM-PRO" w:eastAsia="HG丸ｺﾞｼｯｸM-PRO" w:hAnsi="HG丸ｺﾞｼｯｸM-PRO" w:hint="eastAsia"/>
              </w:rPr>
              <w:t>○住居系の建築物と隣接する場合は、建築物の分節化や高層部の後退などにより、圧迫感の軽減に配慮する。</w:t>
            </w:r>
          </w:p>
        </w:tc>
      </w:tr>
      <w:tr w:rsidR="001369D9" w:rsidRPr="00855ECA" w:rsidTr="00C5127C">
        <w:trPr>
          <w:trHeight w:val="1500"/>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Pr="00855ECA"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Pr="00855ECA" w:rsidRDefault="001369D9" w:rsidP="00C67476">
            <w:pPr>
              <w:rPr>
                <w:rFonts w:ascii="HG丸ｺﾞｼｯｸM-PRO" w:eastAsia="HG丸ｺﾞｼｯｸM-PRO" w:hAnsi="HG丸ｺﾞｼｯｸM-PRO" w:hint="eastAsia"/>
              </w:rPr>
            </w:pPr>
          </w:p>
        </w:tc>
      </w:tr>
      <w:tr w:rsidR="007E789E" w:rsidRPr="00855ECA" w:rsidTr="00B47C0C">
        <w:trPr>
          <w:trHeight w:val="257"/>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C5127C">
        <w:trPr>
          <w:trHeight w:val="1443"/>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AA3F7B" w:rsidRPr="00855ECA" w:rsidTr="001369D9">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中高層部は、周辺からの眺望を想定し、群としての象徴性と周辺街区との調和に配慮した形態・意匠・色彩とすることで、低層部における歩行者空間のにぎわいが引き立つよう配慮する。</w:t>
            </w:r>
          </w:p>
        </w:tc>
      </w:tr>
      <w:tr w:rsidR="00AA3F7B" w:rsidRPr="00855ECA" w:rsidTr="00C5127C">
        <w:trPr>
          <w:trHeight w:val="138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12"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1369D9">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自由学園や立教大学など、歴史的建造物等の背景となる場合、それらからの見え方に鑑み、コントラストを抑えるなど眺望を阻害しないよう配慮する。</w:t>
            </w:r>
          </w:p>
        </w:tc>
      </w:tr>
      <w:tr w:rsidR="007E789E" w:rsidRPr="00855ECA" w:rsidTr="00C5127C">
        <w:trPr>
          <w:trHeight w:val="150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壁面のガラスは、反射光が周辺に不快感を与えるものや高彩度となるものを控え、街並みとの調和や周囲の環境への影響に十分配慮する。</w:t>
            </w:r>
          </w:p>
        </w:tc>
      </w:tr>
      <w:tr w:rsidR="007E789E" w:rsidRPr="00855ECA" w:rsidTr="00C5127C">
        <w:trPr>
          <w:trHeight w:val="153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1369D9">
        <w:trPr>
          <w:trHeight w:val="124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7629F1">
        <w:trPr>
          <w:trHeight w:val="12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建築物に附帯する屋外階段等は、建築物本体との調和を図るとともに、駅前広場や池袋西口公園等の公共空間からの見え方に配慮した外観とする。</w:t>
            </w:r>
          </w:p>
        </w:tc>
      </w:tr>
      <w:tr w:rsidR="007E789E" w:rsidRPr="00855ECA" w:rsidTr="00F90BA8">
        <w:trPr>
          <w:trHeight w:val="131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屋根・屋上に設備等がある場合は、見えにくい配置とするとともに、建築物と一体的な意匠計画や、目隠しによる修景などを行う。</w:t>
            </w:r>
          </w:p>
        </w:tc>
      </w:tr>
      <w:tr w:rsidR="007E789E" w:rsidRPr="00855ECA" w:rsidTr="005C478D">
        <w:trPr>
          <w:trHeight w:val="131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9141FA" w:rsidRDefault="009141FA"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住戸部分のベランダ手すり等は、透明ガラスの使用を控えるなど、道路や公園等の公共空間から洗濯物や室外機等が見えないよう配慮する。</w:t>
            </w:r>
          </w:p>
        </w:tc>
      </w:tr>
      <w:tr w:rsidR="007E789E" w:rsidRPr="00855ECA" w:rsidTr="00323E32">
        <w:trPr>
          <w:trHeight w:val="139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323E32" w:rsidRPr="00855ECA" w:rsidTr="009141FA">
        <w:trPr>
          <w:trHeight w:val="77"/>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○閉店時や夜間においても閉鎖的な印象を与えないよう配慮する。</w:t>
            </w:r>
          </w:p>
        </w:tc>
      </w:tr>
      <w:tr w:rsidR="00323E32" w:rsidRPr="00855ECA" w:rsidTr="009141FA">
        <w:trPr>
          <w:trHeight w:val="1207"/>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9141FA" w:rsidRPr="00855ECA" w:rsidRDefault="009141FA" w:rsidP="00323E32">
            <w:pPr>
              <w:ind w:left="210" w:hangingChars="100" w:hanging="210"/>
              <w:rPr>
                <w:rFonts w:ascii="HG丸ｺﾞｼｯｸM-PRO" w:eastAsia="HG丸ｺﾞｼｯｸM-PRO" w:hAnsi="HG丸ｺﾞｼｯｸM-PRO"/>
              </w:rPr>
            </w:pPr>
          </w:p>
        </w:tc>
      </w:tr>
      <w:tr w:rsidR="00323E32" w:rsidRPr="00855ECA" w:rsidTr="009141FA">
        <w:trPr>
          <w:trHeight w:val="284"/>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○道路側の建物内照明は、その漏れ明かりが公共空間の一つの構成要素となるため、周辺の道路や建築物との光の連続性に配慮し、色温度や輝度を適切に設定する。</w:t>
            </w:r>
          </w:p>
        </w:tc>
      </w:tr>
      <w:tr w:rsidR="00323E32" w:rsidRPr="00855ECA" w:rsidTr="009141FA">
        <w:trPr>
          <w:trHeight w:val="1235"/>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323E32" w:rsidRPr="00855ECA" w:rsidRDefault="00323E32" w:rsidP="009141FA">
            <w:pPr>
              <w:ind w:left="210" w:hangingChars="100" w:hanging="210"/>
              <w:rPr>
                <w:rFonts w:ascii="HG丸ｺﾞｼｯｸM-PRO" w:eastAsia="HG丸ｺﾞｼｯｸM-PRO" w:hAnsi="HG丸ｺﾞｼｯｸM-PRO"/>
              </w:rPr>
            </w:pPr>
          </w:p>
        </w:tc>
      </w:tr>
      <w:tr w:rsidR="00323E32" w:rsidRPr="00855ECA" w:rsidTr="009141FA">
        <w:trPr>
          <w:trHeight w:val="931"/>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○色彩は、「⑤色彩基準（池袋駅西口周辺景観形成特別地区）」に適合することはもとより、「色彩の定性的基準」に基づき周辺との関係性に十分に配慮した上で良好な街並みを形成する配色とする。</w:t>
            </w:r>
          </w:p>
        </w:tc>
      </w:tr>
      <w:tr w:rsidR="009141FA" w:rsidRPr="00855ECA" w:rsidTr="005E7378">
        <w:trPr>
          <w:trHeight w:val="1704"/>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429"/>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○建築物単体だけでなく、周辺の建築物や景観資源等（公園・緑地、並木、モニュメント等）の調和に配慮する。</w:t>
            </w:r>
          </w:p>
        </w:tc>
      </w:tr>
      <w:tr w:rsidR="009141FA" w:rsidRPr="00855ECA" w:rsidTr="009141FA">
        <w:trPr>
          <w:trHeight w:val="1253"/>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77"/>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○建築物正面のデザインや交差点に面して建築物のデザインを工夫するなど、単調な形態・意匠とならないよう配慮する。</w:t>
            </w:r>
          </w:p>
        </w:tc>
      </w:tr>
      <w:tr w:rsidR="00323E32" w:rsidRPr="00855ECA" w:rsidTr="00C5127C">
        <w:trPr>
          <w:trHeight w:val="1516"/>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9141FA" w:rsidRPr="00855ECA" w:rsidRDefault="009141FA" w:rsidP="001369D9">
            <w:pPr>
              <w:rPr>
                <w:rFonts w:ascii="HG丸ｺﾞｼｯｸM-PRO" w:eastAsia="HG丸ｺﾞｼｯｸM-PRO" w:hAnsi="HG丸ｺﾞｼｯｸM-PRO" w:hint="eastAsia"/>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9141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壁面の位置ならびに店舗開口部の位置や形態など、隣接する建築群との関係や歩道との連続性に配慮し、にぎわいが連続するよう計画する。</w:t>
            </w:r>
          </w:p>
        </w:tc>
      </w:tr>
      <w:tr w:rsidR="007E789E" w:rsidRPr="00855ECA" w:rsidTr="00C5127C">
        <w:trPr>
          <w:trHeight w:val="140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9141FA">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9141FA" w:rsidP="00D579D0">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○外構計画は、隣接する敷地や道路など周辺の街並みとの調和に配慮する。</w:t>
            </w:r>
          </w:p>
        </w:tc>
      </w:tr>
      <w:tr w:rsidR="004B4CB4" w:rsidRPr="00855ECA" w:rsidTr="00C5127C">
        <w:trPr>
          <w:trHeight w:val="1416"/>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○歩行者優先道路とその沿道においては、人の流れを考慮し、歩行者空間や滞留空間を創出するように配慮する。</w:t>
            </w:r>
          </w:p>
        </w:tc>
      </w:tr>
      <w:tr w:rsidR="004B4CB4" w:rsidRPr="00855ECA" w:rsidTr="00C5127C">
        <w:trPr>
          <w:trHeight w:val="1241"/>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p>
        </w:tc>
      </w:tr>
      <w:tr w:rsidR="001361CF" w:rsidRPr="00855ECA" w:rsidTr="00C5127C">
        <w:trPr>
          <w:trHeight w:val="1549"/>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○庇の設置など、歩道に面するオープンスペースを中心に、人々の快適性を高める歩行者空間の確保に配慮する。</w:t>
            </w:r>
          </w:p>
        </w:tc>
      </w:tr>
      <w:tr w:rsidR="001361CF" w:rsidRPr="00855ECA" w:rsidTr="005E7378">
        <w:trPr>
          <w:trHeight w:val="819"/>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9141FA" w:rsidRDefault="009141FA" w:rsidP="00EB0C6F">
            <w:pPr>
              <w:ind w:left="210" w:hangingChars="100" w:hanging="210"/>
              <w:rPr>
                <w:rFonts w:ascii="HG丸ｺﾞｼｯｸM-PRO" w:eastAsia="HG丸ｺﾞｼｯｸM-PRO" w:hAnsi="HG丸ｺﾞｼｯｸM-PRO"/>
              </w:rPr>
            </w:pPr>
          </w:p>
          <w:p w:rsidR="00C5127C" w:rsidRPr="001361CF" w:rsidRDefault="00C5127C" w:rsidP="00EB0C6F">
            <w:pPr>
              <w:ind w:left="210" w:hangingChars="100" w:hanging="210"/>
              <w:rPr>
                <w:rFonts w:ascii="HG丸ｺﾞｼｯｸM-PRO" w:eastAsia="HG丸ｺﾞｼｯｸM-PRO" w:hAnsi="HG丸ｺﾞｼｯｸM-PRO" w:hint="eastAsia"/>
              </w:rPr>
            </w:pPr>
            <w:bookmarkStart w:id="0" w:name="_GoBack"/>
            <w:bookmarkEnd w:id="0"/>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p>
        </w:tc>
      </w:tr>
      <w:tr w:rsidR="004B4CB4" w:rsidRPr="00855ECA" w:rsidTr="005E7378">
        <w:trPr>
          <w:trHeight w:val="97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Pr="00855ECA" w:rsidRDefault="009141FA"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○照明は、歩行者空間の安全性・安心感に配慮するとともに、周辺と調和する光の色・明るさ・方向の照明計画とする。</w:t>
            </w:r>
          </w:p>
        </w:tc>
      </w:tr>
      <w:tr w:rsidR="002036CC" w:rsidRPr="00855ECA" w:rsidTr="005C478D">
        <w:trPr>
          <w:trHeight w:val="1385"/>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B47C0C">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○過度な存在感を主張する照明は避け、周辺と調和する光の色・明るさ・方向の照明計画とする。</w:t>
            </w:r>
          </w:p>
        </w:tc>
      </w:tr>
      <w:tr w:rsidR="004B4CB4" w:rsidRPr="00855ECA" w:rsidTr="001369D9">
        <w:trPr>
          <w:trHeight w:val="1325"/>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9D9" w:rsidRPr="00855ECA" w:rsidTr="001369D9">
        <w:trPr>
          <w:trHeight w:val="96"/>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1369D9">
            <w:pPr>
              <w:rPr>
                <w:rFonts w:ascii="HG丸ｺﾞｼｯｸM-PRO" w:eastAsia="HG丸ｺﾞｼｯｸM-PRO" w:hAnsi="HG丸ｺﾞｼｯｸM-PRO" w:hint="eastAsia"/>
              </w:rPr>
            </w:pPr>
            <w:r w:rsidRPr="001369D9">
              <w:rPr>
                <w:rFonts w:ascii="HG丸ｺﾞｼｯｸM-PRO" w:eastAsia="HG丸ｺﾞｼｯｸM-PRO" w:hAnsi="HG丸ｺﾞｼｯｸM-PRO" w:hint="eastAsia"/>
              </w:rPr>
              <w:t>○住居系の建築物と隣接する場合は、照明は暖かい光の色を基本とする。</w:t>
            </w:r>
          </w:p>
        </w:tc>
      </w:tr>
      <w:tr w:rsidR="001369D9" w:rsidRPr="00855ECA" w:rsidTr="001369D9">
        <w:trPr>
          <w:trHeight w:val="1325"/>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Pr="001369D9" w:rsidRDefault="001369D9" w:rsidP="004B4CB4">
            <w:pPr>
              <w:rPr>
                <w:rFonts w:ascii="HG丸ｺﾞｼｯｸM-PRO" w:eastAsia="HG丸ｺﾞｼｯｸM-PRO" w:hAnsi="HG丸ｺﾞｼｯｸM-PRO" w:hint="eastAsia"/>
              </w:rPr>
            </w:pPr>
          </w:p>
        </w:tc>
      </w:tr>
      <w:tr w:rsidR="00B47C0C" w:rsidRPr="00855ECA" w:rsidTr="007F57B8">
        <w:trPr>
          <w:trHeight w:val="240"/>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47C0C" w:rsidRDefault="00B47C0C" w:rsidP="007F57B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Pr="00B47C0C">
              <w:rPr>
                <w:rFonts w:ascii="HG丸ｺﾞｼｯｸM-PRO" w:eastAsia="HG丸ｺﾞｼｯｸM-PRO" w:hAnsi="HG丸ｺﾞｼｯｸM-PRO" w:hint="eastAsia"/>
              </w:rPr>
              <w:t>潤いある景観の創出を考慮し、敷地や建築物を緑化する。</w:t>
            </w:r>
          </w:p>
        </w:tc>
      </w:tr>
      <w:tr w:rsidR="00B47C0C" w:rsidRPr="00855ECA" w:rsidTr="007F57B8">
        <w:trPr>
          <w:trHeight w:val="1325"/>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B47C0C" w:rsidRDefault="007F57B8"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F57B8" w:rsidRDefault="007F57B8" w:rsidP="001450B9">
            <w:pPr>
              <w:ind w:left="210" w:hangingChars="100" w:hanging="210"/>
              <w:rPr>
                <w:rFonts w:ascii="HG丸ｺﾞｼｯｸM-PRO" w:eastAsia="HG丸ｺﾞｼｯｸM-PRO" w:hAnsi="HG丸ｺﾞｼｯｸM-PRO"/>
              </w:rPr>
            </w:pPr>
          </w:p>
          <w:p w:rsidR="007F57B8" w:rsidRPr="007F57B8" w:rsidRDefault="007F57B8" w:rsidP="001450B9">
            <w:pPr>
              <w:ind w:left="210" w:hangingChars="100" w:hanging="210"/>
              <w:rPr>
                <w:rFonts w:ascii="HG丸ｺﾞｼｯｸM-PRO" w:eastAsia="HG丸ｺﾞｼｯｸM-PRO" w:hAnsi="HG丸ｺﾞｼｯｸM-PRO"/>
              </w:rPr>
            </w:pPr>
          </w:p>
        </w:tc>
      </w:tr>
      <w:tr w:rsidR="001361CF" w:rsidRPr="00855ECA" w:rsidTr="007F57B8">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1450B9">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○緑化にあたり、樹種の選定や樹木の配置等は継続的な維持管理が可能な計画とする。</w:t>
            </w:r>
          </w:p>
        </w:tc>
      </w:tr>
      <w:tr w:rsidR="004B4CB4" w:rsidRPr="00855ECA" w:rsidTr="001369D9">
        <w:trPr>
          <w:trHeight w:val="1383"/>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A6" w:rsidRDefault="001012A6" w:rsidP="00267434">
      <w:r>
        <w:separator/>
      </w:r>
    </w:p>
  </w:endnote>
  <w:endnote w:type="continuationSeparator" w:id="0">
    <w:p w:rsidR="001012A6" w:rsidRDefault="001012A6"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A6" w:rsidRDefault="001012A6" w:rsidP="00267434">
      <w:r>
        <w:separator/>
      </w:r>
    </w:p>
  </w:footnote>
  <w:footnote w:type="continuationSeparator" w:id="0">
    <w:p w:rsidR="001012A6" w:rsidRDefault="001012A6"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12A6"/>
    <w:rsid w:val="00103B93"/>
    <w:rsid w:val="001064F4"/>
    <w:rsid w:val="00115B1D"/>
    <w:rsid w:val="00117EA6"/>
    <w:rsid w:val="00120849"/>
    <w:rsid w:val="001235E6"/>
    <w:rsid w:val="001237A6"/>
    <w:rsid w:val="00125B43"/>
    <w:rsid w:val="001279EF"/>
    <w:rsid w:val="00127A87"/>
    <w:rsid w:val="001361CF"/>
    <w:rsid w:val="001369D9"/>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3E32"/>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926DC"/>
    <w:rsid w:val="004A11E2"/>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E7378"/>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7B8"/>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314"/>
    <w:rsid w:val="008E5CE8"/>
    <w:rsid w:val="008F1C63"/>
    <w:rsid w:val="008F3CE6"/>
    <w:rsid w:val="00901406"/>
    <w:rsid w:val="00904021"/>
    <w:rsid w:val="009141FA"/>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47C0C"/>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127C"/>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4766"/>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FD7F-4CB5-4EA7-8287-F420FECF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229</cp:revision>
  <cp:lastPrinted>2017-07-20T07:40:00Z</cp:lastPrinted>
  <dcterms:created xsi:type="dcterms:W3CDTF">2017-07-28T04:31:00Z</dcterms:created>
  <dcterms:modified xsi:type="dcterms:W3CDTF">2021-05-28T00:15:00Z</dcterms:modified>
</cp:coreProperties>
</file>